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390" w:rsidRDefault="002E797F" w:rsidP="00BB5F2A">
      <w:pPr>
        <w:pStyle w:val="NoSpacing"/>
        <w:spacing w:line="270" w:lineRule="exact"/>
        <w:jc w:val="center"/>
        <w:rPr>
          <w:b/>
          <w:sz w:val="28"/>
          <w:szCs w:val="28"/>
          <w:u w:val="single"/>
        </w:rPr>
        <w:sectPr w:rsidR="005E3390" w:rsidSect="004E70B7">
          <w:headerReference w:type="default" r:id="rId8"/>
          <w:footerReference w:type="default" r:id="rId9"/>
          <w:type w:val="continuous"/>
          <w:pgSz w:w="12240" w:h="15840"/>
          <w:pgMar w:top="1440" w:right="1440" w:bottom="1350" w:left="1440" w:header="720" w:footer="720" w:gutter="0"/>
          <w:cols w:num="2" w:space="720"/>
          <w:docGrid w:linePitch="360"/>
        </w:sectPr>
      </w:pPr>
      <w:bookmarkStart w:id="0" w:name="_GoBack"/>
      <w:bookmarkEnd w:id="0"/>
      <w:r w:rsidRPr="00C723E5">
        <w:rPr>
          <w:b/>
          <w:sz w:val="28"/>
          <w:szCs w:val="28"/>
          <w:u w:val="single"/>
        </w:rPr>
        <w:t xml:space="preserve">¿Por </w:t>
      </w:r>
      <w:proofErr w:type="spellStart"/>
      <w:r w:rsidRPr="00C723E5">
        <w:rPr>
          <w:b/>
          <w:sz w:val="28"/>
          <w:szCs w:val="28"/>
          <w:u w:val="single"/>
        </w:rPr>
        <w:t>qué</w:t>
      </w:r>
      <w:proofErr w:type="spellEnd"/>
      <w:r w:rsidRPr="00C723E5">
        <w:rPr>
          <w:b/>
          <w:sz w:val="28"/>
          <w:szCs w:val="28"/>
          <w:u w:val="single"/>
        </w:rPr>
        <w:t xml:space="preserve"> ha </w:t>
      </w:r>
      <w:proofErr w:type="spellStart"/>
      <w:r w:rsidRPr="00C723E5">
        <w:rPr>
          <w:b/>
          <w:sz w:val="28"/>
          <w:szCs w:val="28"/>
          <w:u w:val="single"/>
        </w:rPr>
        <w:t>recibido</w:t>
      </w:r>
      <w:proofErr w:type="spellEnd"/>
      <w:r w:rsidRPr="00C723E5">
        <w:rPr>
          <w:b/>
          <w:sz w:val="28"/>
          <w:szCs w:val="28"/>
          <w:u w:val="single"/>
        </w:rPr>
        <w:t xml:space="preserve"> este informe?</w:t>
      </w:r>
    </w:p>
    <w:p w:rsidR="00BC340C" w:rsidRPr="00C723E5" w:rsidRDefault="00BC340C" w:rsidP="00BB5F2A">
      <w:pPr>
        <w:pStyle w:val="NoSpacing"/>
        <w:spacing w:line="270" w:lineRule="exact"/>
        <w:jc w:val="center"/>
        <w:rPr>
          <w:b/>
          <w:sz w:val="28"/>
          <w:szCs w:val="28"/>
          <w:u w:val="single"/>
        </w:rPr>
      </w:pPr>
    </w:p>
    <w:p w:rsidR="002E797F" w:rsidRPr="008F6D6F" w:rsidRDefault="002E797F" w:rsidP="00BB5F2A">
      <w:pPr>
        <w:pStyle w:val="NoSpacing"/>
        <w:spacing w:line="270" w:lineRule="exact"/>
        <w:rPr>
          <w:b/>
          <w:sz w:val="24"/>
          <w:szCs w:val="24"/>
        </w:rPr>
      </w:pPr>
      <w:r w:rsidRPr="008F6D6F">
        <w:rPr>
          <w:sz w:val="24"/>
          <w:szCs w:val="24"/>
        </w:rPr>
        <w:t xml:space="preserve">Este informe se produce para proporcionar información sobre el sistema de agua de Terrell, incluida la fuente de agua, los niveles de contaminantes detectados y nuestro cumplimiento de todos los estándares de agua potable. </w:t>
      </w:r>
      <w:r w:rsidR="00AF5F23">
        <w:rPr>
          <w:b/>
          <w:sz w:val="24"/>
          <w:szCs w:val="24"/>
        </w:rPr>
        <w:t>(La ciudad de Terrell está calificada como un sistema público de agua superior. Esta es la calificación más alta de la Comisión de Calidad Ambiental de Texas, lo que significa que la ciudad de Terrell cumple y supera todos los requisitos estatales y federales para la calidad del agua).</w:t>
      </w:r>
    </w:p>
    <w:p w:rsidR="00767461" w:rsidRPr="008F6D6F" w:rsidRDefault="00767461" w:rsidP="00BB5F2A">
      <w:pPr>
        <w:pStyle w:val="NoSpacing"/>
        <w:spacing w:line="270" w:lineRule="exact"/>
        <w:rPr>
          <w:b/>
          <w:sz w:val="28"/>
          <w:szCs w:val="28"/>
        </w:rPr>
      </w:pPr>
    </w:p>
    <w:p w:rsidR="00E4405B" w:rsidRPr="008F6D6F" w:rsidRDefault="00E4405B" w:rsidP="00BB5F2A">
      <w:pPr>
        <w:pStyle w:val="NoSpacing"/>
        <w:spacing w:line="270" w:lineRule="exact"/>
        <w:jc w:val="center"/>
        <w:rPr>
          <w:b/>
          <w:sz w:val="28"/>
          <w:szCs w:val="28"/>
          <w:u w:val="single"/>
        </w:rPr>
      </w:pPr>
      <w:r w:rsidRPr="008F6D6F">
        <w:rPr>
          <w:b/>
          <w:sz w:val="28"/>
          <w:szCs w:val="28"/>
          <w:u w:val="single"/>
        </w:rPr>
        <w:t>De dónde viene el agua</w:t>
      </w:r>
    </w:p>
    <w:p w:rsidR="00BB5F2A" w:rsidRDefault="00BB5F2A" w:rsidP="00BB5F2A">
      <w:pPr>
        <w:pStyle w:val="NoSpacing"/>
        <w:spacing w:line="270" w:lineRule="exact"/>
        <w:rPr>
          <w:sz w:val="24"/>
          <w:szCs w:val="24"/>
        </w:rPr>
      </w:pPr>
    </w:p>
    <w:p w:rsidR="00E4405B" w:rsidRPr="008F6D6F" w:rsidRDefault="00E4405B" w:rsidP="00BB5F2A">
      <w:pPr>
        <w:pStyle w:val="NoSpacing"/>
        <w:spacing w:line="270" w:lineRule="exact"/>
        <w:rPr>
          <w:b/>
          <w:sz w:val="24"/>
          <w:szCs w:val="24"/>
        </w:rPr>
      </w:pPr>
      <w:r w:rsidRPr="008F6D6F">
        <w:rPr>
          <w:sz w:val="24"/>
          <w:szCs w:val="24"/>
        </w:rPr>
        <w:t xml:space="preserve">La ciudad de Terrell recibe agua de dos fuentes principales de agua. La fuente principal es el lago Tawakoni, ubicado en los condados de Hunt, Rains y Van Zandt. La fuente secundaria es el lago Lavon, ubicado en el condado de Collin. Al ser una ciudad de agua comprada, Terrell compra el agua pretratada del Distrito Municipal de Agua del Norte de Texas. TCEQ ha completado una Evaluación de Fuentes de Agua para todos los sistemas de agua potable que poseen sus fuentes.  El informe describe la susceptibilidad y los tipos de componentes que pueden entrar en contacto con su fuente de </w:t>
      </w:r>
      <w:r w:rsidRPr="008F6D6F">
        <w:rPr>
          <w:rFonts w:eastAsia="SansSerif"/>
          <w:b/>
          <w:color w:val="000000"/>
          <w:sz w:val="24"/>
          <w:szCs w:val="24"/>
        </w:rPr>
        <w:t xml:space="preserve"> agua potable</w:t>
      </w:r>
      <w:r w:rsidRPr="008F6D6F">
        <w:rPr>
          <w:rFonts w:eastAsia="SansSerif" w:cs="Times New Roman"/>
          <w:color w:val="000000"/>
          <w:sz w:val="24"/>
          <w:szCs w:val="24"/>
        </w:rPr>
        <w:t xml:space="preserve"> en función  de las actividades humanas </w:t>
      </w:r>
      <w:r w:rsidRPr="008F6D6F">
        <w:rPr>
          <w:rFonts w:eastAsia="SansSerif" w:cs="Times New Roman"/>
          <w:b/>
          <w:color w:val="000000"/>
          <w:sz w:val="24"/>
          <w:szCs w:val="24"/>
        </w:rPr>
        <w:t xml:space="preserve">y las condiciones naturales. </w:t>
      </w:r>
      <w:r w:rsidRPr="008F6D6F">
        <w:rPr>
          <w:rFonts w:eastAsia="SansSerif" w:cs="Times New Roman"/>
          <w:color w:val="000000"/>
          <w:sz w:val="24"/>
          <w:szCs w:val="24"/>
        </w:rPr>
        <w:t xml:space="preserve">El (los) sistema(s) de los que compramos nuestra agua recibieron el informe de evaluación.  Para obtener más información sobre </w:t>
      </w:r>
      <w:r w:rsidRPr="008F6D6F">
        <w:rPr>
          <w:rFonts w:eastAsia="SansSerif"/>
          <w:b/>
          <w:color w:val="000000"/>
          <w:sz w:val="24"/>
          <w:szCs w:val="24"/>
        </w:rPr>
        <w:t>las evaluaciones de las fuentes de</w:t>
      </w:r>
      <w:r w:rsidRPr="008F6D6F">
        <w:rPr>
          <w:rFonts w:eastAsia="SansSerif" w:cs="Times New Roman"/>
          <w:color w:val="000000"/>
          <w:sz w:val="24"/>
          <w:szCs w:val="24"/>
        </w:rPr>
        <w:t xml:space="preserve"> agua  y los esfuerzos de protección en nuestro sistema, comuníquese con </w:t>
      </w:r>
      <w:r w:rsidR="0034070F">
        <w:rPr>
          <w:rFonts w:eastAsia="SansSerif"/>
          <w:b/>
          <w:color w:val="000000"/>
          <w:sz w:val="24"/>
          <w:szCs w:val="24"/>
        </w:rPr>
        <w:t xml:space="preserve">Kyle McCarrier al 972-551-6600. Ext 5102 </w:t>
      </w:r>
    </w:p>
    <w:p w:rsidR="00E4405B" w:rsidRPr="008F6D6F" w:rsidRDefault="00E4405B" w:rsidP="00BB5F2A">
      <w:pPr>
        <w:pStyle w:val="NoSpacing"/>
        <w:spacing w:line="270" w:lineRule="exact"/>
        <w:rPr>
          <w:b/>
          <w:sz w:val="28"/>
          <w:szCs w:val="28"/>
        </w:rPr>
      </w:pPr>
    </w:p>
    <w:p w:rsidR="00BB5F2A" w:rsidRDefault="00767461" w:rsidP="00BB5F2A">
      <w:pPr>
        <w:pStyle w:val="NoSpacing"/>
        <w:spacing w:line="270" w:lineRule="exact"/>
        <w:jc w:val="center"/>
        <w:rPr>
          <w:b/>
          <w:sz w:val="28"/>
          <w:szCs w:val="28"/>
          <w:u w:val="single"/>
        </w:rPr>
      </w:pPr>
      <w:r w:rsidRPr="008F6D6F">
        <w:rPr>
          <w:b/>
          <w:sz w:val="28"/>
          <w:szCs w:val="28"/>
          <w:u w:val="single"/>
        </w:rPr>
        <w:t xml:space="preserve">Toda el agua potable puede </w:t>
      </w:r>
    </w:p>
    <w:p w:rsidR="00767461" w:rsidRPr="008F6D6F" w:rsidRDefault="00767461" w:rsidP="00BB5F2A">
      <w:pPr>
        <w:pStyle w:val="NoSpacing"/>
        <w:spacing w:line="270" w:lineRule="exact"/>
        <w:jc w:val="center"/>
        <w:rPr>
          <w:b/>
          <w:sz w:val="28"/>
          <w:szCs w:val="28"/>
          <w:u w:val="single"/>
        </w:rPr>
      </w:pPr>
      <w:r w:rsidRPr="008F6D6F">
        <w:rPr>
          <w:b/>
          <w:sz w:val="28"/>
          <w:szCs w:val="28"/>
          <w:u w:val="single"/>
        </w:rPr>
        <w:t xml:space="preserve">Contienen contaminantes </w:t>
      </w:r>
    </w:p>
    <w:p w:rsidR="00BB5F2A" w:rsidRDefault="00BB5F2A" w:rsidP="00BB5F2A">
      <w:pPr>
        <w:pStyle w:val="NoSpacing"/>
        <w:spacing w:line="270" w:lineRule="exact"/>
        <w:rPr>
          <w:sz w:val="24"/>
          <w:szCs w:val="24"/>
        </w:rPr>
      </w:pPr>
    </w:p>
    <w:p w:rsidR="00BB5F2A" w:rsidRDefault="00BB5F2A" w:rsidP="00BB5F2A">
      <w:pPr>
        <w:pStyle w:val="NoSpacing"/>
        <w:spacing w:line="270" w:lineRule="exact"/>
        <w:rPr>
          <w:i/>
          <w:sz w:val="24"/>
          <w:szCs w:val="24"/>
        </w:rPr>
      </w:pPr>
      <w:r w:rsidRPr="00BB5F2A">
        <w:rPr>
          <w:i/>
          <w:sz w:val="24"/>
          <w:szCs w:val="24"/>
        </w:rPr>
        <w:t xml:space="preserve">Hay información reportada por algunos que parece indicar que la calidad del agua no cumple consistentemente con los límites federales y estatales permitidos.  Esto no es </w:t>
      </w:r>
      <w:r w:rsidR="000576A1" w:rsidRPr="00807D95">
        <w:rPr>
          <w:i/>
          <w:sz w:val="24"/>
          <w:szCs w:val="24"/>
          <w:u w:val="single"/>
        </w:rPr>
        <w:t>cierto</w:t>
      </w:r>
      <w:r w:rsidR="000576A1">
        <w:rPr>
          <w:i/>
          <w:sz w:val="24"/>
          <w:szCs w:val="24"/>
        </w:rPr>
        <w:t xml:space="preserve"> y la calidad del agua de Terrell está </w:t>
      </w:r>
      <w:r w:rsidR="000576A1" w:rsidRPr="00807D95">
        <w:rPr>
          <w:i/>
          <w:sz w:val="24"/>
          <w:szCs w:val="24"/>
          <w:u w:val="single"/>
        </w:rPr>
        <w:t xml:space="preserve">constantemente muy por debajo de </w:t>
      </w:r>
      <w:r w:rsidR="000576A1">
        <w:rPr>
          <w:i/>
          <w:sz w:val="24"/>
          <w:szCs w:val="24"/>
        </w:rPr>
        <w:t xml:space="preserve"> los límites requeridos.  Si tiene alguna pregunta específica relacionada con la calidad del agua y los contaminantes, puede comunicarse con el Departamento de Calidad del Agua de la Ciudad de Terrell al 972-551-6600, ext 5102 Etse reporte incluye información importante sobre el agua para tomar. Para asistencia en español, avor de llamar al </w:t>
      </w:r>
      <w:proofErr w:type="spellStart"/>
      <w:r w:rsidR="000576A1">
        <w:rPr>
          <w:i/>
          <w:sz w:val="24"/>
          <w:szCs w:val="24"/>
        </w:rPr>
        <w:t>telephono</w:t>
      </w:r>
      <w:proofErr w:type="spellEnd"/>
      <w:r w:rsidR="000576A1">
        <w:rPr>
          <w:i/>
          <w:sz w:val="24"/>
          <w:szCs w:val="24"/>
        </w:rPr>
        <w:t xml:space="preserve"> 972-551-6600, </w:t>
      </w:r>
      <w:proofErr w:type="spellStart"/>
      <w:r w:rsidR="000576A1">
        <w:rPr>
          <w:i/>
          <w:sz w:val="24"/>
          <w:szCs w:val="24"/>
        </w:rPr>
        <w:t>ext</w:t>
      </w:r>
      <w:proofErr w:type="spellEnd"/>
      <w:r w:rsidR="000576A1">
        <w:rPr>
          <w:i/>
          <w:sz w:val="24"/>
          <w:szCs w:val="24"/>
        </w:rPr>
        <w:t xml:space="preserve"> 5102</w:t>
      </w:r>
    </w:p>
    <w:p w:rsidR="00AF7AA4" w:rsidRPr="00AF7AA4" w:rsidRDefault="00AF7AA4" w:rsidP="00BB5F2A">
      <w:pPr>
        <w:pStyle w:val="NoSpacing"/>
        <w:spacing w:line="270" w:lineRule="exact"/>
        <w:rPr>
          <w:i/>
          <w:sz w:val="24"/>
          <w:szCs w:val="24"/>
        </w:rPr>
      </w:pPr>
    </w:p>
    <w:p w:rsidR="00161AC1" w:rsidRDefault="00C971CB" w:rsidP="00BB5F2A">
      <w:pPr>
        <w:pStyle w:val="NoSpacing"/>
        <w:spacing w:line="270" w:lineRule="exact"/>
        <w:rPr>
          <w:sz w:val="24"/>
          <w:szCs w:val="24"/>
        </w:rPr>
      </w:pPr>
      <w:r>
        <w:rPr>
          <w:sz w:val="24"/>
          <w:szCs w:val="24"/>
        </w:rPr>
        <w:t>Las fuentes de agua potable (tanto agua del grifo como agua embotellada) incluyen ríos, lagos, arroyos, estanques, embalses, manantiales y pozos. A medida que el agua viaja sobre la superficie de la tierra o a través del suelo, disuelve los minerales naturales y, en algunos casos, el material radiactivo, y puede recoger sustancias resultantes de la presencia de actividad animal o humana. Se puede esperar razonablemente que el agua potable, incluida el agua embotellada, contenga al menos pequeñas cantidades de algunos contaminantes. La presencia de contaminantes no indica necesariamente que el agua represente un riesgo para la salud. Puede obtener más información sobre los contaminantes y los posibles efectos en la salud llamando a la línea directa de agua potable segura de la EPA al (800) 426-4791</w:t>
      </w:r>
    </w:p>
    <w:p w:rsidR="00161AC1" w:rsidRDefault="00161AC1" w:rsidP="00BB5F2A">
      <w:pPr>
        <w:pStyle w:val="NoSpacing"/>
        <w:spacing w:line="270" w:lineRule="exact"/>
        <w:rPr>
          <w:sz w:val="24"/>
          <w:szCs w:val="24"/>
        </w:rPr>
      </w:pPr>
    </w:p>
    <w:p w:rsidR="00EE49F0" w:rsidRDefault="005974AD" w:rsidP="00BB5F2A">
      <w:pPr>
        <w:pStyle w:val="NoSpacing"/>
        <w:spacing w:line="270" w:lineRule="exact"/>
        <w:rPr>
          <w:sz w:val="24"/>
          <w:szCs w:val="24"/>
        </w:rPr>
      </w:pPr>
      <w:r w:rsidRPr="00161AC1">
        <w:rPr>
          <w:b/>
          <w:sz w:val="28"/>
          <w:szCs w:val="28"/>
          <w:u w:val="single"/>
        </w:rPr>
        <w:t>Los contaminantes que pueden estar presentes en las fuentes de agua incluyen</w:t>
      </w:r>
      <w:r>
        <w:rPr>
          <w:sz w:val="24"/>
          <w:szCs w:val="24"/>
        </w:rPr>
        <w:t>:</w:t>
      </w:r>
    </w:p>
    <w:p w:rsidR="00161AC1" w:rsidRDefault="00161AC1" w:rsidP="00BB5F2A">
      <w:pPr>
        <w:pStyle w:val="NoSpacing"/>
        <w:spacing w:line="270" w:lineRule="exact"/>
        <w:rPr>
          <w:sz w:val="24"/>
          <w:szCs w:val="24"/>
        </w:rPr>
      </w:pPr>
    </w:p>
    <w:p w:rsidR="00161AC1" w:rsidRDefault="00161AC1" w:rsidP="00BB5F2A">
      <w:pPr>
        <w:pStyle w:val="NoSpacing"/>
        <w:spacing w:line="270" w:lineRule="exact"/>
        <w:rPr>
          <w:sz w:val="24"/>
          <w:szCs w:val="24"/>
        </w:rPr>
      </w:pPr>
      <w:r>
        <w:rPr>
          <w:sz w:val="24"/>
          <w:szCs w:val="24"/>
        </w:rPr>
        <w:t xml:space="preserve">Contaminantes microbianos, como virus y bacterias, que pueden provenir de plantas de tratamiento de aguas residuales, sistemas sépticos, operaciones agrícolas y ganaderas y vida silvestre.  </w:t>
      </w:r>
    </w:p>
    <w:p w:rsidR="00BB5F2A" w:rsidRDefault="00BB5F2A" w:rsidP="00BB5F2A">
      <w:pPr>
        <w:pStyle w:val="NoSpacing"/>
        <w:spacing w:line="270" w:lineRule="exact"/>
        <w:rPr>
          <w:sz w:val="24"/>
          <w:szCs w:val="24"/>
        </w:rPr>
      </w:pPr>
    </w:p>
    <w:p w:rsidR="00503921" w:rsidRDefault="00161AC1" w:rsidP="00BB5F2A">
      <w:pPr>
        <w:pStyle w:val="NoSpacing"/>
        <w:spacing w:line="270" w:lineRule="exact"/>
        <w:rPr>
          <w:sz w:val="24"/>
          <w:szCs w:val="24"/>
        </w:rPr>
      </w:pPr>
      <w:r>
        <w:rPr>
          <w:sz w:val="24"/>
          <w:szCs w:val="24"/>
        </w:rPr>
        <w:t>Contaminantes inorgánicos, como sales y metales, que pueden producirse de forma natural en la escorrentía de aguas pluviales urbanas, los vertidos de aguas residuales industriales o domésticas, la producción de petróleo y gas, la minería o la agricultura.</w:t>
      </w:r>
    </w:p>
    <w:p w:rsidR="00503921" w:rsidRDefault="00503921" w:rsidP="00BB5F2A">
      <w:pPr>
        <w:pStyle w:val="NoSpacing"/>
        <w:spacing w:line="270" w:lineRule="exact"/>
        <w:rPr>
          <w:sz w:val="24"/>
          <w:szCs w:val="24"/>
        </w:rPr>
      </w:pPr>
    </w:p>
    <w:p w:rsidR="00324C7B" w:rsidRDefault="00324C7B" w:rsidP="00BB5F2A">
      <w:pPr>
        <w:pStyle w:val="NoSpacing"/>
        <w:spacing w:line="270" w:lineRule="exact"/>
        <w:rPr>
          <w:sz w:val="24"/>
          <w:szCs w:val="24"/>
        </w:rPr>
      </w:pPr>
      <w:r>
        <w:rPr>
          <w:sz w:val="24"/>
          <w:szCs w:val="24"/>
        </w:rPr>
        <w:t xml:space="preserve">Pesticidas y herbicidas, que pueden provenir de una variedad de fuentes, como la agricultura, la escorrentía de aguas pluviales urbanas y los usos residenciales.  </w:t>
      </w:r>
    </w:p>
    <w:p w:rsidR="00BB5F2A" w:rsidRDefault="00BB5F2A" w:rsidP="00BB5F2A">
      <w:pPr>
        <w:pStyle w:val="NoSpacing"/>
        <w:spacing w:line="270" w:lineRule="exact"/>
        <w:rPr>
          <w:sz w:val="24"/>
          <w:szCs w:val="24"/>
        </w:rPr>
      </w:pPr>
    </w:p>
    <w:p w:rsidR="00503921" w:rsidRDefault="00324C7B" w:rsidP="00BB5F2A">
      <w:pPr>
        <w:pStyle w:val="NoSpacing"/>
        <w:spacing w:line="270" w:lineRule="exact"/>
        <w:rPr>
          <w:rFonts w:eastAsia="SansSerif" w:cs="SansSerif"/>
          <w:color w:val="000000"/>
          <w:sz w:val="24"/>
          <w:szCs w:val="24"/>
        </w:rPr>
      </w:pPr>
      <w:r>
        <w:rPr>
          <w:sz w:val="24"/>
          <w:szCs w:val="24"/>
        </w:rPr>
        <w:t>Contaminantes químicos orgánicos</w:t>
      </w:r>
      <w:r w:rsidRPr="00324C7B">
        <w:rPr>
          <w:rFonts w:eastAsia="SansSerif" w:cs="SansSerif"/>
          <w:color w:val="000000"/>
          <w:sz w:val="24"/>
          <w:szCs w:val="24"/>
        </w:rPr>
        <w:t>, incluidos los productos químicos orgánicos sintéticos y volátiles, que son subproductos de los procesos industriales y la producción de petróleo, y también pueden provenir de estaciones de servicio, escorrentía de aguas pluviales urbanas y sistemas sépticos.</w:t>
      </w:r>
    </w:p>
    <w:p w:rsidR="00503921" w:rsidRDefault="00503921" w:rsidP="00BB5F2A">
      <w:pPr>
        <w:pStyle w:val="NoSpacing"/>
        <w:spacing w:line="270" w:lineRule="exact"/>
        <w:rPr>
          <w:sz w:val="24"/>
          <w:szCs w:val="24"/>
        </w:rPr>
      </w:pPr>
    </w:p>
    <w:p w:rsidR="00527841" w:rsidRDefault="00324C7B" w:rsidP="00BB5F2A">
      <w:pPr>
        <w:pStyle w:val="NoSpacing"/>
        <w:spacing w:line="270" w:lineRule="exact"/>
        <w:rPr>
          <w:rFonts w:eastAsia="SansSerif" w:cs="SansSerif"/>
          <w:color w:val="000000"/>
          <w:sz w:val="24"/>
          <w:szCs w:val="24"/>
        </w:rPr>
      </w:pPr>
      <w:r>
        <w:rPr>
          <w:sz w:val="24"/>
          <w:szCs w:val="24"/>
        </w:rPr>
        <w:t>Contaminantes radiactivos que pueden ser de origen natural o ser el resultado de la producción de petróleo y gas y de las actividades mineras.</w:t>
      </w:r>
    </w:p>
    <w:p w:rsidR="00E15C92" w:rsidRDefault="00E15C92" w:rsidP="00BB5F2A">
      <w:pPr>
        <w:pStyle w:val="NoSpacing"/>
        <w:spacing w:line="270" w:lineRule="exact"/>
        <w:rPr>
          <w:rFonts w:eastAsia="SansSerif" w:cs="SansSerif"/>
          <w:color w:val="000000"/>
          <w:sz w:val="24"/>
          <w:szCs w:val="24"/>
        </w:rPr>
      </w:pPr>
    </w:p>
    <w:p w:rsidR="00F82B94" w:rsidRDefault="00142FC0" w:rsidP="00BB5F2A">
      <w:pPr>
        <w:pStyle w:val="NoSpacing"/>
        <w:spacing w:line="270" w:lineRule="exact"/>
        <w:rPr>
          <w:rFonts w:eastAsia="SansSerif" w:cs="SansSerif"/>
          <w:color w:val="000000"/>
          <w:sz w:val="24"/>
          <w:szCs w:val="24"/>
        </w:rPr>
      </w:pPr>
      <w:r w:rsidRPr="00527841">
        <w:rPr>
          <w:sz w:val="24"/>
          <w:szCs w:val="24"/>
        </w:rPr>
        <w:t xml:space="preserve">Con el fin de garantizar que el agua del grifo sea segura para beber, la EPA prescribe regulaciones que limitan la cantidad de ciertos contaminantes en el agua proporcionada por los sistemas públicos de agua. </w:t>
      </w:r>
      <w:r w:rsidR="00527841" w:rsidRPr="00527841">
        <w:rPr>
          <w:rFonts w:eastAsia="SansSerif" w:cs="SansSerif"/>
          <w:color w:val="000000"/>
          <w:sz w:val="24"/>
          <w:szCs w:val="24"/>
        </w:rPr>
        <w:t xml:space="preserve">Las regulaciones de la FDA establecen límites para los contaminantes en el agua embotellada, que debe proporcionar la misma protección para la salud pública.  </w:t>
      </w:r>
    </w:p>
    <w:p w:rsidR="00F82B94" w:rsidRDefault="00F82B94" w:rsidP="00BB5F2A">
      <w:pPr>
        <w:pStyle w:val="NoSpacing"/>
        <w:spacing w:line="270" w:lineRule="exact"/>
        <w:rPr>
          <w:sz w:val="24"/>
          <w:szCs w:val="24"/>
        </w:rPr>
      </w:pPr>
    </w:p>
    <w:p w:rsidR="005974AD" w:rsidRPr="00527841" w:rsidRDefault="00142FC0" w:rsidP="00BB5F2A">
      <w:pPr>
        <w:pStyle w:val="NoSpacing"/>
        <w:spacing w:line="270" w:lineRule="exact"/>
        <w:rPr>
          <w:rFonts w:eastAsia="SansSerif" w:cs="SansSerif"/>
          <w:color w:val="000000"/>
          <w:sz w:val="24"/>
          <w:szCs w:val="24"/>
        </w:rPr>
      </w:pPr>
      <w:r w:rsidRPr="00527841">
        <w:rPr>
          <w:sz w:val="24"/>
          <w:szCs w:val="24"/>
        </w:rPr>
        <w:t xml:space="preserve">Se pueden encontrar contaminantes en el agua potable que pueden causar problemas de sabor, color u olor. Este tipo de </w:t>
      </w:r>
      <w:r w:rsidRPr="00527841">
        <w:rPr>
          <w:sz w:val="24"/>
          <w:szCs w:val="24"/>
        </w:rPr>
        <w:t>problemas no son necesariamente motivo de problemas de salud. Para obtener más información sobre el sabor, el olor o el color del agua potable, comuníquese con nuestro Departamento de Calidad del Agua: 972-551-6600.</w:t>
      </w:r>
    </w:p>
    <w:p w:rsidR="001F7E02" w:rsidRPr="00527841" w:rsidRDefault="001F7E02" w:rsidP="00BB5F2A">
      <w:pPr>
        <w:pStyle w:val="NoSpacing"/>
        <w:spacing w:line="270" w:lineRule="exact"/>
        <w:jc w:val="center"/>
        <w:rPr>
          <w:b/>
          <w:sz w:val="28"/>
          <w:szCs w:val="28"/>
          <w:u w:val="single"/>
        </w:rPr>
      </w:pPr>
    </w:p>
    <w:p w:rsidR="00BB5F2A" w:rsidRDefault="005974AD" w:rsidP="00BB5F2A">
      <w:pPr>
        <w:pStyle w:val="NoSpacing"/>
        <w:spacing w:line="270" w:lineRule="exact"/>
        <w:jc w:val="center"/>
        <w:rPr>
          <w:b/>
          <w:sz w:val="28"/>
          <w:szCs w:val="28"/>
          <w:u w:val="single"/>
        </w:rPr>
      </w:pPr>
      <w:r w:rsidRPr="008F6D6F">
        <w:rPr>
          <w:b/>
          <w:sz w:val="28"/>
          <w:szCs w:val="28"/>
          <w:u w:val="single"/>
        </w:rPr>
        <w:t>Para clientes con necesidades especiales</w:t>
      </w:r>
    </w:p>
    <w:p w:rsidR="005974AD" w:rsidRDefault="005974AD" w:rsidP="00BB5F2A">
      <w:pPr>
        <w:pStyle w:val="NoSpacing"/>
        <w:spacing w:line="270" w:lineRule="exact"/>
        <w:jc w:val="center"/>
        <w:rPr>
          <w:b/>
          <w:sz w:val="28"/>
          <w:szCs w:val="28"/>
          <w:u w:val="single"/>
        </w:rPr>
      </w:pPr>
      <w:r w:rsidRPr="008F6D6F">
        <w:rPr>
          <w:b/>
          <w:sz w:val="28"/>
          <w:szCs w:val="28"/>
          <w:u w:val="single"/>
        </w:rPr>
        <w:t>Problemas de salud</w:t>
      </w:r>
    </w:p>
    <w:p w:rsidR="00BB5F2A" w:rsidRPr="008F6D6F" w:rsidRDefault="00BB5F2A" w:rsidP="00BB5F2A">
      <w:pPr>
        <w:pStyle w:val="NoSpacing"/>
        <w:spacing w:line="270" w:lineRule="exact"/>
        <w:jc w:val="center"/>
        <w:rPr>
          <w:b/>
          <w:sz w:val="28"/>
          <w:szCs w:val="28"/>
          <w:u w:val="single"/>
        </w:rPr>
      </w:pPr>
    </w:p>
    <w:p w:rsidR="00F82B94" w:rsidRDefault="005974AD" w:rsidP="00BB5F2A">
      <w:pPr>
        <w:pStyle w:val="NoSpacing"/>
        <w:spacing w:line="270" w:lineRule="exact"/>
        <w:rPr>
          <w:sz w:val="24"/>
          <w:szCs w:val="24"/>
        </w:rPr>
      </w:pPr>
      <w:r w:rsidRPr="008F6D6F">
        <w:rPr>
          <w:sz w:val="24"/>
          <w:szCs w:val="24"/>
        </w:rPr>
        <w:t xml:space="preserve">Es posible que usted sea más vulnerable que la población general a ciertos contaminantes microbianos, como el Cryptosporidium, en el agua potable. Lactantes, algunos ancianos o personas inmunodeprimidas, como las que se someten a quimioterapia para el cáncer; personas que se han sometido a trasplantes de órganos; aquellos que están en tratamiento con esteroides; y otras personas con VIH/SIDA u otros trastornos del sistema inmunitario pueden estar particularmente en riesgo de contraer infecciones. Debe buscar consejo sobre el agua potable de su médico o proveedor de atención médica. Pautas adicionales sobre los medios apropiados para disminuir el riesgo de infección por Cryptosporidium están disponibles en la Línea Directa de Agua Potable Segura al (1-800-426-4791).  </w:t>
      </w:r>
    </w:p>
    <w:p w:rsidR="002D60DA" w:rsidRDefault="002D60DA" w:rsidP="00BB5F2A">
      <w:pPr>
        <w:pStyle w:val="NoSpacing"/>
        <w:spacing w:line="270" w:lineRule="exact"/>
        <w:rPr>
          <w:sz w:val="24"/>
          <w:szCs w:val="24"/>
        </w:rPr>
      </w:pPr>
    </w:p>
    <w:p w:rsidR="005974AD" w:rsidRPr="008F6D6F" w:rsidRDefault="00022D33" w:rsidP="00BB5F2A">
      <w:pPr>
        <w:pStyle w:val="NoSpacing"/>
        <w:spacing w:line="270" w:lineRule="exact"/>
        <w:rPr>
          <w:sz w:val="24"/>
          <w:szCs w:val="24"/>
        </w:rPr>
      </w:pPr>
      <w:r>
        <w:rPr>
          <w:sz w:val="24"/>
          <w:szCs w:val="24"/>
        </w:rPr>
        <w:t xml:space="preserve">Si están presentes, los niveles elevados de plomo pueden causar serios problemas de salud, especialmente para las mujeres embarazadas y los niños pequeños. El plomo en el agua potable proviene principalmente de materiales y componentes asociados con las líneas de servicio y la plomería del hogar. Somos responsables de proporcionar agua potable de alta calidad, pero no podemos controlar la variedad de materiales utilizados en los componentes de plomería. Cuando el agua ha estado reposada durante varias horas, </w:t>
      </w:r>
      <w:r>
        <w:rPr>
          <w:sz w:val="24"/>
          <w:szCs w:val="24"/>
        </w:rPr>
        <w:lastRenderedPageBreak/>
        <w:t xml:space="preserve">puede minimizar la posibilidad de exposición al plomo enjuagando el agua del grifo durante 30 segundos a 2 minutos antes de usar agua para beber o cocinar. Si le preocupa el plomo en el agua, </w:t>
      </w:r>
      <w:r w:rsidR="0070642C" w:rsidRPr="00134F8D">
        <w:rPr>
          <w:sz w:val="24"/>
          <w:szCs w:val="24"/>
          <w:highlight w:val="yellow"/>
        </w:rPr>
        <w:t>puede solicitar que se analice el agua</w:t>
      </w:r>
      <w:r w:rsidR="0070642C">
        <w:rPr>
          <w:sz w:val="24"/>
          <w:szCs w:val="24"/>
        </w:rPr>
        <w:t>. La información sobre el plomo en el agua potable, los métodos de prueba y los pasos que puede tomar para minimizar la exposición está disponible en la Línea Directa de Agua Potable Segura o en http://www.epa.gov/safewater/lead.</w:t>
      </w:r>
    </w:p>
    <w:p w:rsidR="00635CF4" w:rsidRPr="008F6D6F" w:rsidRDefault="00635CF4" w:rsidP="00BB5F2A">
      <w:pPr>
        <w:pStyle w:val="NoSpacing"/>
        <w:spacing w:line="270" w:lineRule="exact"/>
      </w:pPr>
    </w:p>
    <w:p w:rsidR="00FA2E4A" w:rsidRDefault="00FA2E4A" w:rsidP="00BB5F2A">
      <w:pPr>
        <w:pStyle w:val="NoSpacing"/>
        <w:spacing w:line="270" w:lineRule="exact"/>
        <w:jc w:val="center"/>
        <w:rPr>
          <w:b/>
          <w:sz w:val="28"/>
          <w:szCs w:val="28"/>
          <w:u w:val="single"/>
        </w:rPr>
      </w:pPr>
      <w:r w:rsidRPr="008F6D6F">
        <w:rPr>
          <w:b/>
          <w:sz w:val="28"/>
          <w:szCs w:val="28"/>
          <w:u w:val="single"/>
        </w:rPr>
        <w:t>Participación Pública</w:t>
      </w:r>
    </w:p>
    <w:p w:rsidR="00022D33" w:rsidRPr="008F6D6F" w:rsidRDefault="00022D33" w:rsidP="00BB5F2A">
      <w:pPr>
        <w:pStyle w:val="NoSpacing"/>
        <w:spacing w:line="270" w:lineRule="exact"/>
        <w:jc w:val="center"/>
        <w:rPr>
          <w:b/>
          <w:sz w:val="28"/>
          <w:szCs w:val="28"/>
          <w:u w:val="single"/>
        </w:rPr>
      </w:pPr>
    </w:p>
    <w:p w:rsidR="00FA2E4A" w:rsidRPr="008F6D6F" w:rsidRDefault="00FA2E4A" w:rsidP="00BB5F2A">
      <w:pPr>
        <w:pStyle w:val="NoSpacing"/>
        <w:spacing w:line="270" w:lineRule="exact"/>
        <w:rPr>
          <w:sz w:val="24"/>
          <w:szCs w:val="24"/>
        </w:rPr>
      </w:pPr>
      <w:r w:rsidRPr="008F6D6F">
        <w:rPr>
          <w:sz w:val="24"/>
          <w:szCs w:val="24"/>
        </w:rPr>
        <w:t>Se invita al público a asistir a las reuniones del Concejo Municipal de la Ciudad de Terrell que se llevan a cabo el primer y tercer martes de cada mes.</w:t>
      </w:r>
    </w:p>
    <w:p w:rsidR="00FA2E4A" w:rsidRPr="008F6D6F" w:rsidRDefault="00FA2E4A" w:rsidP="00BB5F2A">
      <w:pPr>
        <w:pStyle w:val="NoSpacing"/>
        <w:spacing w:line="270" w:lineRule="exact"/>
        <w:rPr>
          <w:sz w:val="28"/>
          <w:szCs w:val="28"/>
        </w:rPr>
      </w:pPr>
    </w:p>
    <w:p w:rsidR="006736DA" w:rsidRDefault="006736DA" w:rsidP="00134F8D">
      <w:pPr>
        <w:pStyle w:val="NoSpacing"/>
        <w:spacing w:line="270" w:lineRule="exact"/>
        <w:rPr>
          <w:b/>
          <w:sz w:val="28"/>
          <w:szCs w:val="28"/>
          <w:u w:val="single"/>
        </w:rPr>
      </w:pPr>
    </w:p>
    <w:p w:rsidR="004246F9" w:rsidRDefault="004246F9" w:rsidP="00134F8D">
      <w:pPr>
        <w:pStyle w:val="NoSpacing"/>
        <w:spacing w:line="270" w:lineRule="exact"/>
        <w:rPr>
          <w:b/>
          <w:sz w:val="28"/>
          <w:szCs w:val="28"/>
          <w:u w:val="single"/>
        </w:rPr>
      </w:pPr>
    </w:p>
    <w:p w:rsidR="004246F9" w:rsidRDefault="004246F9" w:rsidP="00134F8D">
      <w:pPr>
        <w:pStyle w:val="NoSpacing"/>
        <w:spacing w:line="270" w:lineRule="exact"/>
        <w:rPr>
          <w:b/>
          <w:sz w:val="28"/>
          <w:szCs w:val="28"/>
          <w:u w:val="single"/>
        </w:rPr>
      </w:pPr>
    </w:p>
    <w:p w:rsidR="00E7748C" w:rsidRDefault="00FA2E4A" w:rsidP="006736DA">
      <w:pPr>
        <w:pStyle w:val="NoSpacing"/>
        <w:spacing w:line="270" w:lineRule="exact"/>
        <w:jc w:val="center"/>
        <w:rPr>
          <w:b/>
          <w:sz w:val="28"/>
          <w:szCs w:val="28"/>
          <w:u w:val="single"/>
        </w:rPr>
      </w:pPr>
      <w:r w:rsidRPr="008F6D6F">
        <w:rPr>
          <w:b/>
          <w:sz w:val="28"/>
          <w:szCs w:val="28"/>
          <w:u w:val="single"/>
        </w:rPr>
        <w:t>Definiciones y abreviaturas</w:t>
      </w:r>
    </w:p>
    <w:p w:rsidR="00656B06" w:rsidRPr="00656B06" w:rsidRDefault="00656B06" w:rsidP="00656B06">
      <w:pPr>
        <w:rPr>
          <w:rFonts w:ascii="Calibri Light" w:hAnsi="Calibri Light" w:cs="Calibri Light"/>
        </w:rPr>
      </w:pPr>
      <w:r w:rsidRPr="00656B06">
        <w:rPr>
          <w:rFonts w:ascii="Calibri Light" w:eastAsia="SansSerif" w:hAnsi="Calibri Light" w:cs="Calibri Light"/>
          <w:color w:val="000000"/>
        </w:rPr>
        <w:t>Las siguientes tablas contienen términos y medidas científicas, algunos de los cuales pueden requerir explicación.</w:t>
      </w:r>
    </w:p>
    <w:p w:rsidR="00391371" w:rsidRDefault="00391371" w:rsidP="00BB5F2A">
      <w:pPr>
        <w:pStyle w:val="NoSpacing"/>
        <w:spacing w:line="270" w:lineRule="exact"/>
        <w:rPr>
          <w:b/>
          <w:sz w:val="28"/>
          <w:szCs w:val="28"/>
          <w:u w:val="single"/>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Nivel de acción: </w:t>
      </w:r>
      <w:r w:rsidRPr="00BB5F2A">
        <w:rPr>
          <w:rFonts w:eastAsia="SansSerif" w:cstheme="minorHAnsi"/>
          <w:color w:val="000000"/>
          <w:sz w:val="24"/>
          <w:szCs w:val="24"/>
        </w:rPr>
        <w:t>La concentración de un contaminante que, si se excede, desencadena el tratamiento u otros requisitos que debe seguir un sistema de agua.</w:t>
      </w:r>
    </w:p>
    <w:p w:rsidR="00391371" w:rsidRPr="00BB5F2A" w:rsidRDefault="00391371" w:rsidP="00B77238">
      <w:pPr>
        <w:pStyle w:val="NoSpacing"/>
        <w:spacing w:line="280" w:lineRule="exact"/>
        <w:rPr>
          <w:rFonts w:cstheme="minorHAnsi"/>
          <w:b/>
          <w:sz w:val="24"/>
          <w:szCs w:val="24"/>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Objetivo de Nivel de Acción (ALG): </w:t>
      </w:r>
      <w:r w:rsidRPr="00BB5F2A">
        <w:rPr>
          <w:rFonts w:eastAsia="SansSerif" w:cstheme="minorHAnsi"/>
          <w:color w:val="000000"/>
          <w:sz w:val="24"/>
          <w:szCs w:val="24"/>
        </w:rPr>
        <w:t>El nivel de un contaminante en el agua potable por debajo del cual no existe un riesgo conocido o esperado para la salud.  Los ALG permiten un margen de seguridad.</w:t>
      </w:r>
    </w:p>
    <w:p w:rsidR="00391371" w:rsidRPr="00BB5F2A" w:rsidRDefault="00391371" w:rsidP="00B77238">
      <w:pPr>
        <w:pStyle w:val="NoSpacing"/>
        <w:spacing w:line="280" w:lineRule="exact"/>
        <w:rPr>
          <w:rFonts w:cstheme="minorHAnsi"/>
          <w:b/>
          <w:sz w:val="24"/>
          <w:szCs w:val="24"/>
        </w:rPr>
      </w:pPr>
    </w:p>
    <w:p w:rsidR="00FA2E4A" w:rsidRDefault="00E7748C" w:rsidP="00B77238">
      <w:pPr>
        <w:pStyle w:val="NoSpacing"/>
        <w:spacing w:line="280" w:lineRule="exact"/>
        <w:rPr>
          <w:rFonts w:cstheme="minorHAnsi"/>
          <w:sz w:val="24"/>
          <w:szCs w:val="24"/>
        </w:rPr>
      </w:pPr>
      <w:r w:rsidRPr="00BB5F2A">
        <w:rPr>
          <w:rFonts w:cstheme="minorHAnsi"/>
          <w:b/>
          <w:sz w:val="24"/>
          <w:szCs w:val="24"/>
        </w:rPr>
        <w:t>Promedio</w:t>
      </w:r>
      <w:r w:rsidRPr="00BB5F2A">
        <w:rPr>
          <w:rFonts w:cstheme="minorHAnsi"/>
          <w:sz w:val="24"/>
          <w:szCs w:val="24"/>
        </w:rPr>
        <w:t>: El cumplimiento normativo de algunos MCL se basa en el promedio anual de muestras mensuales.</w:t>
      </w:r>
    </w:p>
    <w:p w:rsidR="00BF59CE" w:rsidRPr="00BB5F2A" w:rsidRDefault="00BF59CE" w:rsidP="00B77238">
      <w:pPr>
        <w:pStyle w:val="NoSpacing"/>
        <w:spacing w:line="280" w:lineRule="exact"/>
        <w:rPr>
          <w:rFonts w:cstheme="minorHAnsi"/>
          <w:sz w:val="24"/>
          <w:szCs w:val="24"/>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Evaluación de Nivel 1: </w:t>
      </w:r>
      <w:r w:rsidRPr="00BB5F2A">
        <w:rPr>
          <w:rFonts w:eastAsia="SansSerif" w:cstheme="minorHAnsi"/>
          <w:color w:val="000000"/>
          <w:sz w:val="24"/>
          <w:szCs w:val="24"/>
        </w:rPr>
        <w:t>Una evaluación de Nivel 1 es un estudio del sistema de agua para identificar problemas potenciales y determinar (si es posible) por qué se han encontrado bacterias coliformes totales en nuestro sistema de agua.</w:t>
      </w:r>
    </w:p>
    <w:p w:rsidR="00391371" w:rsidRPr="00BB5F2A" w:rsidRDefault="00391371" w:rsidP="00B77238">
      <w:pPr>
        <w:pStyle w:val="NoSpacing"/>
        <w:spacing w:line="280" w:lineRule="exact"/>
        <w:rPr>
          <w:rFonts w:cstheme="minorHAnsi"/>
          <w:sz w:val="28"/>
          <w:szCs w:val="28"/>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Evaluación de Nivel 2: </w:t>
      </w:r>
      <w:r w:rsidRPr="00BB5F2A">
        <w:rPr>
          <w:rFonts w:eastAsia="SansSerif" w:cstheme="minorHAnsi"/>
          <w:color w:val="000000"/>
          <w:sz w:val="24"/>
          <w:szCs w:val="24"/>
        </w:rPr>
        <w:t>Una evaluación de Nivel 2 es un estudio muy detallado del sistema de agua para identificar problemas potenciales y determinar (si es posible) por qué se ha producido una violación de E. coli MCL y / o por qué se han encontrado bacterias coliformes totales en nuestro sistema de agua en múltiples ocasiones.</w:t>
      </w:r>
    </w:p>
    <w:p w:rsidR="00391371" w:rsidRPr="00BB5F2A" w:rsidRDefault="00391371" w:rsidP="00B77238">
      <w:pPr>
        <w:pStyle w:val="NoSpacing"/>
        <w:spacing w:line="280" w:lineRule="exact"/>
        <w:rPr>
          <w:rFonts w:cstheme="minorHAnsi"/>
          <w:sz w:val="28"/>
          <w:szCs w:val="28"/>
        </w:rPr>
      </w:pPr>
    </w:p>
    <w:p w:rsidR="00BF59CE" w:rsidRDefault="00E7748C" w:rsidP="00B77238">
      <w:pPr>
        <w:pStyle w:val="NoSpacing"/>
        <w:spacing w:line="280" w:lineRule="exact"/>
        <w:rPr>
          <w:rFonts w:cstheme="minorHAnsi"/>
          <w:sz w:val="24"/>
          <w:szCs w:val="24"/>
        </w:rPr>
      </w:pPr>
      <w:r w:rsidRPr="00BB5F2A">
        <w:rPr>
          <w:rFonts w:cstheme="minorHAnsi"/>
          <w:b/>
          <w:sz w:val="24"/>
          <w:szCs w:val="24"/>
        </w:rPr>
        <w:t>Niveles Máximos de Contaminantes o MCL</w:t>
      </w:r>
      <w:r w:rsidRPr="00BB5F2A">
        <w:rPr>
          <w:rFonts w:cstheme="minorHAnsi"/>
          <w:sz w:val="24"/>
          <w:szCs w:val="24"/>
        </w:rPr>
        <w:t xml:space="preserve">: </w:t>
      </w:r>
    </w:p>
    <w:p w:rsidR="00E7748C" w:rsidRPr="00BB5F2A" w:rsidRDefault="00E7748C" w:rsidP="00B77238">
      <w:pPr>
        <w:pStyle w:val="NoSpacing"/>
        <w:spacing w:line="280" w:lineRule="exact"/>
        <w:rPr>
          <w:rFonts w:cstheme="minorHAnsi"/>
          <w:sz w:val="24"/>
          <w:szCs w:val="24"/>
        </w:rPr>
      </w:pPr>
      <w:r w:rsidRPr="00BB5F2A">
        <w:rPr>
          <w:rFonts w:cstheme="minorHAnsi"/>
          <w:sz w:val="24"/>
          <w:szCs w:val="24"/>
        </w:rPr>
        <w:t>El nivel más alto de un contaminante que se permite en el agua potable. Los MCL se establecen lo más cerca posible de los MCLG utilizando la mejor tecnología de tratamiento.</w:t>
      </w:r>
    </w:p>
    <w:p w:rsidR="00E7748C" w:rsidRPr="00BB5F2A" w:rsidRDefault="00E7748C" w:rsidP="00B77238">
      <w:pPr>
        <w:pStyle w:val="NoSpacing"/>
        <w:spacing w:line="280" w:lineRule="exact"/>
        <w:rPr>
          <w:rFonts w:cstheme="minorHAnsi"/>
          <w:sz w:val="28"/>
          <w:szCs w:val="28"/>
        </w:rPr>
      </w:pPr>
    </w:p>
    <w:p w:rsidR="00E7748C" w:rsidRPr="00BB5F2A" w:rsidRDefault="00E7748C" w:rsidP="00B77238">
      <w:pPr>
        <w:pStyle w:val="NoSpacing"/>
        <w:spacing w:line="280" w:lineRule="exact"/>
        <w:rPr>
          <w:rFonts w:cstheme="minorHAnsi"/>
          <w:sz w:val="24"/>
          <w:szCs w:val="24"/>
        </w:rPr>
      </w:pPr>
      <w:r w:rsidRPr="00BB5F2A">
        <w:rPr>
          <w:rFonts w:cstheme="minorHAnsi"/>
          <w:b/>
          <w:sz w:val="24"/>
          <w:szCs w:val="24"/>
        </w:rPr>
        <w:t xml:space="preserve">Objetivo de Nivel Máximo de Contaminante o MCLG: </w:t>
      </w:r>
      <w:r w:rsidRPr="00BB5F2A">
        <w:rPr>
          <w:rFonts w:cstheme="minorHAnsi"/>
          <w:sz w:val="24"/>
          <w:szCs w:val="24"/>
        </w:rPr>
        <w:t>El nivel de un contaminante en el agua potable por debajo del cual no existe un riesgo conocido o esperado para la salud. Los MCLG permiten un margen de seguridad.</w:t>
      </w:r>
    </w:p>
    <w:p w:rsidR="00E7748C" w:rsidRPr="00BB5F2A" w:rsidRDefault="00E7748C" w:rsidP="00FA2E4A">
      <w:pPr>
        <w:pStyle w:val="NoSpacing"/>
        <w:rPr>
          <w:rFonts w:cstheme="minorHAnsi"/>
          <w:sz w:val="28"/>
          <w:szCs w:val="28"/>
        </w:rPr>
      </w:pPr>
    </w:p>
    <w:p w:rsidR="00E7748C" w:rsidRPr="00BB5F2A" w:rsidRDefault="008B3D24" w:rsidP="00B77238">
      <w:pPr>
        <w:pStyle w:val="NoSpacing"/>
        <w:spacing w:line="260" w:lineRule="exact"/>
        <w:rPr>
          <w:rFonts w:cstheme="minorHAnsi"/>
          <w:sz w:val="24"/>
          <w:szCs w:val="24"/>
        </w:rPr>
      </w:pPr>
      <w:r w:rsidRPr="00BB5F2A">
        <w:rPr>
          <w:rFonts w:cstheme="minorHAnsi"/>
          <w:b/>
          <w:sz w:val="24"/>
          <w:szCs w:val="24"/>
        </w:rPr>
        <w:t xml:space="preserve">Nivel Máximo de Desinfectante Residual o MRDL: </w:t>
      </w:r>
      <w:r w:rsidRPr="00BB5F2A">
        <w:rPr>
          <w:rFonts w:cstheme="minorHAnsi"/>
          <w:sz w:val="24"/>
          <w:szCs w:val="24"/>
        </w:rPr>
        <w:t>El nivel más alto de un desinfectante permitido en el agua potable. Existen pruebas convincentes de que la adición de un desinfectante es necesaria para el control de los contaminantes microbianos.</w:t>
      </w:r>
    </w:p>
    <w:p w:rsidR="008B3D24" w:rsidRDefault="008B3D24" w:rsidP="00B77238">
      <w:pPr>
        <w:pStyle w:val="NoSpacing"/>
        <w:spacing w:line="260" w:lineRule="exact"/>
        <w:rPr>
          <w:rFonts w:cstheme="minorHAnsi"/>
          <w:sz w:val="28"/>
          <w:szCs w:val="28"/>
        </w:rPr>
      </w:pPr>
    </w:p>
    <w:p w:rsidR="008B3D24" w:rsidRPr="00BB5F2A" w:rsidRDefault="008B3D24" w:rsidP="00B77238">
      <w:pPr>
        <w:pStyle w:val="NoSpacing"/>
        <w:spacing w:line="260" w:lineRule="exact"/>
        <w:rPr>
          <w:rFonts w:cstheme="minorHAnsi"/>
          <w:sz w:val="24"/>
          <w:szCs w:val="24"/>
        </w:rPr>
      </w:pPr>
      <w:r w:rsidRPr="00BB5F2A">
        <w:rPr>
          <w:rFonts w:cstheme="minorHAnsi"/>
          <w:b/>
          <w:sz w:val="24"/>
          <w:szCs w:val="24"/>
        </w:rPr>
        <w:t>Objetivo de Nivel Máximo de Desinfectante Residual o MRDLG</w:t>
      </w:r>
      <w:r w:rsidRPr="00BB5F2A">
        <w:rPr>
          <w:rFonts w:cstheme="minorHAnsi"/>
          <w:sz w:val="24"/>
          <w:szCs w:val="24"/>
        </w:rPr>
        <w:t xml:space="preserve">: El nivel de un desinfectante de agua potable por debajo del cual no existe un riesgo conocido o esperado para la salud. Los MRDLG no reflejan los beneficios del uso de </w:t>
      </w:r>
      <w:r w:rsidRPr="00BB5F2A">
        <w:rPr>
          <w:rFonts w:cstheme="minorHAnsi"/>
          <w:sz w:val="24"/>
          <w:szCs w:val="24"/>
        </w:rPr>
        <w:lastRenderedPageBreak/>
        <w:t>desinfectantes para controlar los contaminantes microbianos.</w:t>
      </w:r>
    </w:p>
    <w:p w:rsidR="002F5807" w:rsidRPr="00BB5F2A" w:rsidRDefault="002F5807"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r w:rsidRPr="00BB5F2A">
        <w:rPr>
          <w:rFonts w:cstheme="minorHAnsi"/>
          <w:b/>
          <w:sz w:val="24"/>
          <w:szCs w:val="24"/>
        </w:rPr>
        <w:t>MFL</w:t>
      </w:r>
      <w:r w:rsidRPr="00BB5F2A">
        <w:rPr>
          <w:rFonts w:cstheme="minorHAnsi"/>
          <w:sz w:val="24"/>
          <w:szCs w:val="24"/>
        </w:rPr>
        <w:t>: Millones de fibras por litro (una medida del asbesto)</w:t>
      </w:r>
    </w:p>
    <w:p w:rsidR="002F5807" w:rsidRPr="00BB5F2A" w:rsidRDefault="002F5807" w:rsidP="00B77238">
      <w:pPr>
        <w:pStyle w:val="NoSpacing"/>
        <w:spacing w:line="260" w:lineRule="exact"/>
        <w:rPr>
          <w:rFonts w:cstheme="minorHAnsi"/>
          <w:sz w:val="24"/>
          <w:szCs w:val="24"/>
        </w:rPr>
      </w:pPr>
    </w:p>
    <w:p w:rsidR="00391371" w:rsidRPr="00BB5F2A" w:rsidRDefault="00391371" w:rsidP="00B77238">
      <w:pPr>
        <w:pStyle w:val="NoSpacing"/>
        <w:spacing w:line="260" w:lineRule="exact"/>
        <w:rPr>
          <w:rFonts w:cstheme="minorHAnsi"/>
          <w:b/>
          <w:sz w:val="24"/>
          <w:szCs w:val="24"/>
        </w:rPr>
      </w:pPr>
      <w:r w:rsidRPr="00BB5F2A">
        <w:rPr>
          <w:rFonts w:cstheme="minorHAnsi"/>
          <w:b/>
          <w:sz w:val="24"/>
          <w:szCs w:val="24"/>
        </w:rPr>
        <w:t xml:space="preserve">MREM: </w:t>
      </w:r>
      <w:r w:rsidRPr="00BB5F2A">
        <w:rPr>
          <w:rFonts w:eastAsia="SansSerif" w:cstheme="minorHAnsi"/>
          <w:color w:val="000000"/>
          <w:sz w:val="24"/>
          <w:szCs w:val="24"/>
        </w:rPr>
        <w:t>milirems por año (una medida de la radiación absorbida por el cuerpo)</w:t>
      </w:r>
    </w:p>
    <w:p w:rsidR="00391371" w:rsidRPr="00BB5F2A" w:rsidRDefault="00391371"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proofErr w:type="spellStart"/>
      <w:r w:rsidRPr="00BB5F2A">
        <w:rPr>
          <w:rFonts w:cstheme="minorHAnsi"/>
          <w:b/>
          <w:sz w:val="24"/>
          <w:szCs w:val="24"/>
        </w:rPr>
        <w:t>na</w:t>
      </w:r>
      <w:proofErr w:type="spellEnd"/>
      <w:r w:rsidRPr="00BB5F2A">
        <w:rPr>
          <w:rFonts w:cstheme="minorHAnsi"/>
          <w:sz w:val="24"/>
          <w:szCs w:val="24"/>
        </w:rPr>
        <w:t xml:space="preserve">: No </w:t>
      </w:r>
      <w:proofErr w:type="spellStart"/>
      <w:r w:rsidRPr="00BB5F2A">
        <w:rPr>
          <w:rFonts w:cstheme="minorHAnsi"/>
          <w:sz w:val="24"/>
          <w:szCs w:val="24"/>
        </w:rPr>
        <w:t>aplicable</w:t>
      </w:r>
      <w:proofErr w:type="spellEnd"/>
    </w:p>
    <w:p w:rsidR="002F5807" w:rsidRPr="00BB5F2A" w:rsidRDefault="002F5807"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r w:rsidRPr="00BB5F2A">
        <w:rPr>
          <w:rFonts w:cstheme="minorHAnsi"/>
          <w:b/>
          <w:sz w:val="24"/>
          <w:szCs w:val="24"/>
        </w:rPr>
        <w:t>NTU</w:t>
      </w:r>
      <w:r w:rsidRPr="00BB5F2A">
        <w:rPr>
          <w:rFonts w:cstheme="minorHAnsi"/>
          <w:sz w:val="24"/>
          <w:szCs w:val="24"/>
        </w:rPr>
        <w:t xml:space="preserve">: Unidades de turbidez nefelométricas (una medida de turbidez) </w:t>
      </w:r>
    </w:p>
    <w:p w:rsidR="00391371" w:rsidRPr="00BB5F2A" w:rsidRDefault="00391371" w:rsidP="00B77238">
      <w:pPr>
        <w:pStyle w:val="NoSpacing"/>
        <w:spacing w:line="260" w:lineRule="exact"/>
        <w:rPr>
          <w:rFonts w:cstheme="minorHAnsi"/>
          <w:b/>
          <w:sz w:val="24"/>
          <w:szCs w:val="24"/>
        </w:rPr>
      </w:pPr>
    </w:p>
    <w:p w:rsidR="002F5807" w:rsidRPr="00BB5F2A" w:rsidRDefault="002F5807" w:rsidP="00B77238">
      <w:pPr>
        <w:pStyle w:val="NoSpacing"/>
        <w:spacing w:line="260" w:lineRule="exact"/>
        <w:rPr>
          <w:rFonts w:cstheme="minorHAnsi"/>
          <w:sz w:val="24"/>
          <w:szCs w:val="24"/>
        </w:rPr>
      </w:pPr>
      <w:proofErr w:type="spellStart"/>
      <w:r w:rsidRPr="00BB5F2A">
        <w:rPr>
          <w:rFonts w:cstheme="minorHAnsi"/>
          <w:b/>
          <w:sz w:val="24"/>
          <w:szCs w:val="24"/>
        </w:rPr>
        <w:t>pCi</w:t>
      </w:r>
      <w:proofErr w:type="spellEnd"/>
      <w:r w:rsidRPr="00BB5F2A">
        <w:rPr>
          <w:rFonts w:cstheme="minorHAnsi"/>
          <w:b/>
          <w:sz w:val="24"/>
          <w:szCs w:val="24"/>
        </w:rPr>
        <w:t>/L</w:t>
      </w:r>
      <w:r w:rsidRPr="00BB5F2A">
        <w:rPr>
          <w:rFonts w:cstheme="minorHAnsi"/>
          <w:sz w:val="24"/>
          <w:szCs w:val="24"/>
        </w:rPr>
        <w:t xml:space="preserve">: </w:t>
      </w:r>
      <w:proofErr w:type="spellStart"/>
      <w:r w:rsidRPr="00BB5F2A">
        <w:rPr>
          <w:rFonts w:cstheme="minorHAnsi"/>
          <w:sz w:val="24"/>
          <w:szCs w:val="24"/>
        </w:rPr>
        <w:t>picocurios</w:t>
      </w:r>
      <w:proofErr w:type="spellEnd"/>
      <w:r w:rsidRPr="00BB5F2A">
        <w:rPr>
          <w:rFonts w:cstheme="minorHAnsi"/>
          <w:sz w:val="24"/>
          <w:szCs w:val="24"/>
        </w:rPr>
        <w:t xml:space="preserve"> por </w:t>
      </w:r>
      <w:proofErr w:type="spellStart"/>
      <w:r w:rsidRPr="00BB5F2A">
        <w:rPr>
          <w:rFonts w:cstheme="minorHAnsi"/>
          <w:sz w:val="24"/>
          <w:szCs w:val="24"/>
        </w:rPr>
        <w:t>litro</w:t>
      </w:r>
      <w:proofErr w:type="spellEnd"/>
      <w:r w:rsidRPr="00BB5F2A">
        <w:rPr>
          <w:rFonts w:cstheme="minorHAnsi"/>
          <w:sz w:val="24"/>
          <w:szCs w:val="24"/>
        </w:rPr>
        <w:t xml:space="preserve"> (una medida de la radiactividad)</w:t>
      </w:r>
    </w:p>
    <w:p w:rsidR="002F5807" w:rsidRPr="00BB5F2A" w:rsidRDefault="002F5807"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r w:rsidRPr="00BB5F2A">
        <w:rPr>
          <w:rFonts w:cstheme="minorHAnsi"/>
          <w:b/>
          <w:sz w:val="24"/>
          <w:szCs w:val="24"/>
        </w:rPr>
        <w:t>ppb</w:t>
      </w:r>
      <w:r w:rsidRPr="00BB5F2A">
        <w:rPr>
          <w:rFonts w:cstheme="minorHAnsi"/>
          <w:sz w:val="24"/>
          <w:szCs w:val="24"/>
        </w:rPr>
        <w:t>: Microgramos por litro o partes por billón, o una onza en 7,350,000 galones de agua.</w:t>
      </w:r>
    </w:p>
    <w:p w:rsidR="002F5807" w:rsidRPr="00BB5F2A" w:rsidRDefault="002F5807" w:rsidP="00B77238">
      <w:pPr>
        <w:pStyle w:val="NoSpacing"/>
        <w:spacing w:line="260" w:lineRule="exact"/>
        <w:rPr>
          <w:rFonts w:cstheme="minorHAnsi"/>
          <w:sz w:val="24"/>
          <w:szCs w:val="24"/>
        </w:rPr>
      </w:pPr>
    </w:p>
    <w:p w:rsidR="00957A4C" w:rsidRPr="00BB5F2A" w:rsidRDefault="002F5807" w:rsidP="00B77238">
      <w:pPr>
        <w:pStyle w:val="NoSpacing"/>
        <w:spacing w:line="260" w:lineRule="exact"/>
        <w:rPr>
          <w:rFonts w:cstheme="minorHAnsi"/>
          <w:sz w:val="24"/>
          <w:szCs w:val="24"/>
        </w:rPr>
      </w:pPr>
      <w:r w:rsidRPr="00BB5F2A">
        <w:rPr>
          <w:rFonts w:cstheme="minorHAnsi"/>
          <w:b/>
          <w:sz w:val="24"/>
          <w:szCs w:val="24"/>
        </w:rPr>
        <w:t>ppm</w:t>
      </w:r>
      <w:r w:rsidRPr="00BB5F2A">
        <w:rPr>
          <w:rFonts w:cstheme="minorHAnsi"/>
          <w:sz w:val="24"/>
          <w:szCs w:val="24"/>
        </w:rPr>
        <w:t>: miligramos por litro o partes por millón, o una onza en 7,350 galones de agua</w:t>
      </w:r>
    </w:p>
    <w:p w:rsidR="00957A4C" w:rsidRPr="00BB5F2A" w:rsidRDefault="00957A4C" w:rsidP="00B77238">
      <w:pPr>
        <w:pStyle w:val="NoSpacing"/>
        <w:spacing w:line="260" w:lineRule="exact"/>
        <w:rPr>
          <w:rFonts w:cstheme="minorHAnsi"/>
          <w:sz w:val="24"/>
          <w:szCs w:val="24"/>
        </w:rPr>
      </w:pPr>
    </w:p>
    <w:p w:rsidR="0026264A" w:rsidRPr="00BB5F2A" w:rsidRDefault="00957A4C" w:rsidP="00B77238">
      <w:pPr>
        <w:pStyle w:val="NoSpacing"/>
        <w:spacing w:line="260" w:lineRule="exact"/>
        <w:rPr>
          <w:rFonts w:cstheme="minorHAnsi"/>
          <w:sz w:val="24"/>
          <w:szCs w:val="24"/>
        </w:rPr>
      </w:pPr>
      <w:r w:rsidRPr="00BB5F2A">
        <w:rPr>
          <w:rFonts w:cstheme="minorHAnsi"/>
          <w:b/>
          <w:sz w:val="24"/>
          <w:szCs w:val="24"/>
        </w:rPr>
        <w:t>ppt</w:t>
      </w:r>
      <w:r w:rsidR="0026264A" w:rsidRPr="00BB5F2A">
        <w:rPr>
          <w:rFonts w:cstheme="minorHAnsi"/>
          <w:sz w:val="24"/>
          <w:szCs w:val="24"/>
        </w:rPr>
        <w:t>: Partes por billón o nanogramos por litro (ng/L)</w:t>
      </w:r>
    </w:p>
    <w:p w:rsidR="0026264A" w:rsidRPr="00BB5F2A" w:rsidRDefault="0026264A" w:rsidP="00B77238">
      <w:pPr>
        <w:pStyle w:val="NoSpacing"/>
        <w:spacing w:line="260" w:lineRule="exact"/>
        <w:rPr>
          <w:rFonts w:cstheme="minorHAnsi"/>
          <w:sz w:val="24"/>
          <w:szCs w:val="24"/>
        </w:rPr>
      </w:pPr>
    </w:p>
    <w:p w:rsidR="002F5807" w:rsidRPr="00BB5F2A" w:rsidRDefault="0026264A" w:rsidP="00B77238">
      <w:pPr>
        <w:pStyle w:val="NoSpacing"/>
        <w:spacing w:line="260" w:lineRule="exact"/>
        <w:rPr>
          <w:rFonts w:cstheme="minorHAnsi"/>
          <w:sz w:val="24"/>
          <w:szCs w:val="24"/>
        </w:rPr>
      </w:pPr>
      <w:proofErr w:type="spellStart"/>
      <w:r w:rsidRPr="00BB5F2A">
        <w:rPr>
          <w:rFonts w:cstheme="minorHAnsi"/>
          <w:b/>
          <w:sz w:val="24"/>
          <w:szCs w:val="24"/>
        </w:rPr>
        <w:t>ppq</w:t>
      </w:r>
      <w:proofErr w:type="spellEnd"/>
      <w:r w:rsidRPr="00BB5F2A">
        <w:rPr>
          <w:rFonts w:cstheme="minorHAnsi"/>
          <w:sz w:val="24"/>
          <w:szCs w:val="24"/>
        </w:rPr>
        <w:t xml:space="preserve">: </w:t>
      </w:r>
      <w:proofErr w:type="spellStart"/>
      <w:r w:rsidRPr="00BB5F2A">
        <w:rPr>
          <w:rFonts w:cstheme="minorHAnsi"/>
          <w:sz w:val="24"/>
          <w:szCs w:val="24"/>
        </w:rPr>
        <w:t>partes</w:t>
      </w:r>
      <w:proofErr w:type="spellEnd"/>
      <w:r w:rsidRPr="00BB5F2A">
        <w:rPr>
          <w:rFonts w:cstheme="minorHAnsi"/>
          <w:sz w:val="24"/>
          <w:szCs w:val="24"/>
        </w:rPr>
        <w:t xml:space="preserve"> por </w:t>
      </w:r>
      <w:proofErr w:type="spellStart"/>
      <w:r w:rsidRPr="00BB5F2A">
        <w:rPr>
          <w:rFonts w:cstheme="minorHAnsi"/>
          <w:sz w:val="24"/>
          <w:szCs w:val="24"/>
        </w:rPr>
        <w:t>cuadrillion</w:t>
      </w:r>
      <w:proofErr w:type="spellEnd"/>
      <w:r w:rsidRPr="00BB5F2A">
        <w:rPr>
          <w:rFonts w:cstheme="minorHAnsi"/>
          <w:sz w:val="24"/>
          <w:szCs w:val="24"/>
        </w:rPr>
        <w:t xml:space="preserve">, oro picogramos por litero (ps/L) </w:t>
      </w:r>
    </w:p>
    <w:p w:rsidR="00377B7C" w:rsidRPr="00BB5F2A" w:rsidRDefault="00377B7C" w:rsidP="00FA2E4A">
      <w:pPr>
        <w:pStyle w:val="NoSpacing"/>
        <w:rPr>
          <w:rFonts w:cstheme="minorHAnsi"/>
          <w:sz w:val="24"/>
          <w:szCs w:val="24"/>
        </w:rPr>
      </w:pPr>
    </w:p>
    <w:p w:rsidR="00377B7C" w:rsidRPr="00377B7C" w:rsidRDefault="00377B7C" w:rsidP="00134F8D">
      <w:pPr>
        <w:pStyle w:val="NoSpacing"/>
        <w:ind w:right="-720"/>
        <w:rPr>
          <w:sz w:val="24"/>
          <w:szCs w:val="24"/>
        </w:rPr>
      </w:pPr>
      <w:r w:rsidRPr="00377B7C">
        <w:rPr>
          <w:rFonts w:eastAsia="SansSerif" w:cs="SansSerif"/>
          <w:b/>
          <w:color w:val="000000"/>
          <w:sz w:val="24"/>
          <w:szCs w:val="24"/>
        </w:rPr>
        <w:t>Técnica de tratamiento o TT</w:t>
      </w:r>
      <w:r w:rsidRPr="00377B7C">
        <w:rPr>
          <w:rFonts w:eastAsia="SansSerif" w:cs="SansSerif"/>
          <w:b/>
          <w:color w:val="000000"/>
          <w:sz w:val="24"/>
          <w:szCs w:val="24"/>
        </w:rPr>
        <w:t></w:t>
      </w:r>
      <w:r w:rsidRPr="00377B7C">
        <w:rPr>
          <w:rFonts w:eastAsia="SansSerif" w:cs="SansSerif"/>
          <w:b/>
          <w:color w:val="000000"/>
          <w:sz w:val="24"/>
          <w:szCs w:val="24"/>
        </w:rPr>
        <w:t xml:space="preserve">Un proceso requerido destinado a reducir el nivel de un contaminante en el agua potable </w:t>
      </w:r>
    </w:p>
    <w:p w:rsidR="00377B7C" w:rsidRDefault="00377B7C" w:rsidP="00FA2E4A">
      <w:pPr>
        <w:pStyle w:val="NoSpacing"/>
        <w:rPr>
          <w:sz w:val="24"/>
          <w:szCs w:val="24"/>
        </w:rPr>
      </w:pPr>
    </w:p>
    <w:p w:rsidR="005E3390" w:rsidRDefault="005E3390" w:rsidP="00CD73D7">
      <w:pPr>
        <w:spacing w:after="200" w:line="276" w:lineRule="auto"/>
        <w:rPr>
          <w:rFonts w:asciiTheme="minorHAnsi" w:eastAsia="SansSerif" w:hAnsiTheme="minorHAnsi" w:cs="SansSerif"/>
          <w:b/>
          <w:color w:val="000000"/>
          <w:sz w:val="28"/>
          <w:szCs w:val="28"/>
        </w:rPr>
        <w:sectPr w:rsidR="005E3390" w:rsidSect="00807D95">
          <w:type w:val="continuous"/>
          <w:pgSz w:w="12240" w:h="15840" w:code="1"/>
          <w:pgMar w:top="1440" w:right="1440" w:bottom="1354" w:left="1440" w:header="432" w:footer="432" w:gutter="0"/>
          <w:cols w:num="2" w:space="720"/>
          <w:docGrid w:linePitch="360"/>
        </w:sectPr>
      </w:pPr>
    </w:p>
    <w:p w:rsidR="00B77238" w:rsidRPr="002D60DA" w:rsidRDefault="00B77238" w:rsidP="00DE2296">
      <w:pPr>
        <w:spacing w:after="120"/>
        <w:ind w:left="200"/>
        <w:rPr>
          <w:b/>
          <w:sz w:val="20"/>
          <w:szCs w:val="20"/>
        </w:rPr>
      </w:pPr>
    </w:p>
    <w:p w:rsidR="00854963" w:rsidRPr="00CD73D7" w:rsidRDefault="005E3390" w:rsidP="00DE2296">
      <w:pPr>
        <w:spacing w:after="80" w:line="276" w:lineRule="auto"/>
        <w:rPr>
          <w:rFonts w:asciiTheme="minorHAnsi" w:eastAsia="SansSerif" w:hAnsiTheme="minorHAnsi" w:cs="SansSerif"/>
          <w:color w:val="000000"/>
          <w:sz w:val="16"/>
          <w:szCs w:val="16"/>
        </w:rPr>
      </w:pPr>
      <w:r>
        <w:rPr>
          <w:rFonts w:asciiTheme="minorHAnsi" w:eastAsia="SansSerif" w:hAnsiTheme="minorHAnsi" w:cs="SansSerif"/>
          <w:b/>
          <w:color w:val="000000"/>
          <w:sz w:val="28"/>
          <w:szCs w:val="28"/>
        </w:rPr>
        <w:t>Plomo y cobre</w:t>
      </w:r>
    </w:p>
    <w:tbl>
      <w:tblPr>
        <w:tblStyle w:val="TableGrid"/>
        <w:tblW w:w="9508" w:type="dxa"/>
        <w:tblInd w:w="320" w:type="dxa"/>
        <w:tblLook w:val="04A0" w:firstRow="1" w:lastRow="0" w:firstColumn="1" w:lastColumn="0" w:noHBand="0" w:noVBand="1"/>
      </w:tblPr>
      <w:tblGrid>
        <w:gridCol w:w="864"/>
        <w:gridCol w:w="936"/>
        <w:gridCol w:w="790"/>
        <w:gridCol w:w="873"/>
        <w:gridCol w:w="1132"/>
        <w:gridCol w:w="961"/>
        <w:gridCol w:w="919"/>
        <w:gridCol w:w="992"/>
        <w:gridCol w:w="2041"/>
      </w:tblGrid>
      <w:tr w:rsidR="0058390F" w:rsidTr="0058390F">
        <w:tc>
          <w:tcPr>
            <w:tcW w:w="868" w:type="dxa"/>
          </w:tcPr>
          <w:p w:rsidR="00854963" w:rsidRPr="00BB5F2A" w:rsidRDefault="00854963" w:rsidP="001C4EC3">
            <w:pPr>
              <w:pStyle w:val="NoSpacing"/>
              <w:jc w:val="center"/>
              <w:rPr>
                <w:b/>
                <w:sz w:val="18"/>
                <w:szCs w:val="18"/>
              </w:rPr>
            </w:pPr>
            <w:r w:rsidRPr="00BB5F2A">
              <w:rPr>
                <w:b/>
                <w:sz w:val="18"/>
                <w:szCs w:val="18"/>
              </w:rPr>
              <w:t>Plomo y cobre</w:t>
            </w:r>
          </w:p>
        </w:tc>
        <w:tc>
          <w:tcPr>
            <w:tcW w:w="909" w:type="dxa"/>
          </w:tcPr>
          <w:p w:rsidR="00F670A4" w:rsidRDefault="00F670A4" w:rsidP="001C4EC3">
            <w:pPr>
              <w:pStyle w:val="NoSpacing"/>
              <w:jc w:val="center"/>
              <w:rPr>
                <w:b/>
                <w:sz w:val="18"/>
                <w:szCs w:val="18"/>
              </w:rPr>
            </w:pPr>
          </w:p>
          <w:p w:rsidR="00854963" w:rsidRPr="00BB5F2A" w:rsidRDefault="00854963" w:rsidP="001C4EC3">
            <w:pPr>
              <w:pStyle w:val="NoSpacing"/>
              <w:jc w:val="center"/>
              <w:rPr>
                <w:b/>
                <w:sz w:val="18"/>
                <w:szCs w:val="18"/>
              </w:rPr>
            </w:pPr>
            <w:r w:rsidRPr="00BB5F2A">
              <w:rPr>
                <w:b/>
                <w:sz w:val="18"/>
                <w:szCs w:val="18"/>
              </w:rPr>
              <w:t>Fecha de muestreo</w:t>
            </w:r>
          </w:p>
        </w:tc>
        <w:tc>
          <w:tcPr>
            <w:tcW w:w="809" w:type="dxa"/>
          </w:tcPr>
          <w:p w:rsidR="00F670A4" w:rsidRDefault="00F670A4" w:rsidP="001C4EC3">
            <w:pPr>
              <w:pStyle w:val="NoSpacing"/>
              <w:jc w:val="center"/>
              <w:rPr>
                <w:b/>
                <w:sz w:val="18"/>
                <w:szCs w:val="18"/>
              </w:rPr>
            </w:pPr>
          </w:p>
          <w:p w:rsidR="00F670A4" w:rsidRDefault="00F670A4" w:rsidP="001C4EC3">
            <w:pPr>
              <w:pStyle w:val="NoSpacing"/>
              <w:jc w:val="center"/>
              <w:rPr>
                <w:b/>
                <w:sz w:val="18"/>
                <w:szCs w:val="18"/>
              </w:rPr>
            </w:pPr>
          </w:p>
          <w:p w:rsidR="00854963" w:rsidRPr="00BB5F2A" w:rsidRDefault="00854963" w:rsidP="001C4EC3">
            <w:pPr>
              <w:pStyle w:val="NoSpacing"/>
              <w:jc w:val="center"/>
              <w:rPr>
                <w:b/>
                <w:sz w:val="18"/>
                <w:szCs w:val="18"/>
              </w:rPr>
            </w:pPr>
            <w:r w:rsidRPr="00BB5F2A">
              <w:rPr>
                <w:b/>
                <w:sz w:val="18"/>
                <w:szCs w:val="18"/>
              </w:rPr>
              <w:t>MCLG</w:t>
            </w:r>
          </w:p>
        </w:tc>
        <w:tc>
          <w:tcPr>
            <w:tcW w:w="899" w:type="dxa"/>
          </w:tcPr>
          <w:p w:rsidR="00854963" w:rsidRPr="00BB5F2A" w:rsidRDefault="00854963" w:rsidP="001C4EC3">
            <w:pPr>
              <w:pStyle w:val="NoSpacing"/>
              <w:jc w:val="center"/>
              <w:rPr>
                <w:b/>
                <w:sz w:val="18"/>
                <w:szCs w:val="18"/>
              </w:rPr>
            </w:pPr>
            <w:r w:rsidRPr="00BB5F2A">
              <w:rPr>
                <w:b/>
                <w:sz w:val="18"/>
                <w:szCs w:val="18"/>
              </w:rPr>
              <w:t>Nivel de acción</w:t>
            </w:r>
          </w:p>
        </w:tc>
        <w:tc>
          <w:tcPr>
            <w:tcW w:w="1169" w:type="dxa"/>
          </w:tcPr>
          <w:p w:rsidR="00854963" w:rsidRPr="00BB5F2A" w:rsidRDefault="00854963" w:rsidP="001C4EC3">
            <w:pPr>
              <w:pStyle w:val="NoSpacing"/>
              <w:jc w:val="center"/>
              <w:rPr>
                <w:b/>
                <w:sz w:val="18"/>
                <w:szCs w:val="18"/>
              </w:rPr>
            </w:pPr>
            <w:r w:rsidRPr="00BB5F2A">
              <w:rPr>
                <w:b/>
                <w:sz w:val="18"/>
                <w:szCs w:val="18"/>
              </w:rPr>
              <w:t>Percentil 90</w:t>
            </w:r>
          </w:p>
        </w:tc>
        <w:tc>
          <w:tcPr>
            <w:tcW w:w="988" w:type="dxa"/>
          </w:tcPr>
          <w:p w:rsidR="00854963" w:rsidRPr="00BB5F2A" w:rsidRDefault="00854963" w:rsidP="001C4EC3">
            <w:pPr>
              <w:pStyle w:val="NoSpacing"/>
              <w:jc w:val="center"/>
              <w:rPr>
                <w:b/>
                <w:sz w:val="18"/>
                <w:szCs w:val="18"/>
              </w:rPr>
            </w:pPr>
            <w:r w:rsidRPr="00BB5F2A">
              <w:rPr>
                <w:b/>
                <w:sz w:val="18"/>
                <w:szCs w:val="18"/>
              </w:rPr>
              <w:t># de Sitios en general</w:t>
            </w:r>
          </w:p>
        </w:tc>
        <w:tc>
          <w:tcPr>
            <w:tcW w:w="716" w:type="dxa"/>
          </w:tcPr>
          <w:p w:rsidR="00854963" w:rsidRPr="00BB5F2A" w:rsidRDefault="00854963" w:rsidP="001C4EC3">
            <w:pPr>
              <w:pStyle w:val="NoSpacing"/>
              <w:jc w:val="center"/>
              <w:rPr>
                <w:b/>
                <w:sz w:val="18"/>
                <w:szCs w:val="18"/>
              </w:rPr>
            </w:pPr>
            <w:r w:rsidRPr="00BB5F2A">
              <w:rPr>
                <w:b/>
                <w:sz w:val="18"/>
                <w:szCs w:val="18"/>
              </w:rPr>
              <w:t>Unidades</w:t>
            </w:r>
          </w:p>
        </w:tc>
        <w:tc>
          <w:tcPr>
            <w:tcW w:w="1004" w:type="dxa"/>
          </w:tcPr>
          <w:p w:rsidR="00854963" w:rsidRPr="00BB5F2A" w:rsidRDefault="00854963" w:rsidP="001C4EC3">
            <w:pPr>
              <w:pStyle w:val="NoSpacing"/>
              <w:jc w:val="center"/>
              <w:rPr>
                <w:b/>
                <w:sz w:val="18"/>
                <w:szCs w:val="18"/>
              </w:rPr>
            </w:pPr>
            <w:r w:rsidRPr="00BB5F2A">
              <w:rPr>
                <w:b/>
                <w:sz w:val="18"/>
                <w:szCs w:val="18"/>
              </w:rPr>
              <w:t>Violación</w:t>
            </w:r>
          </w:p>
        </w:tc>
        <w:tc>
          <w:tcPr>
            <w:tcW w:w="2146" w:type="dxa"/>
          </w:tcPr>
          <w:p w:rsidR="00854963" w:rsidRPr="00BB5F2A" w:rsidRDefault="00854963" w:rsidP="001C4EC3">
            <w:pPr>
              <w:pStyle w:val="NoSpacing"/>
              <w:jc w:val="center"/>
              <w:rPr>
                <w:b/>
                <w:sz w:val="18"/>
                <w:szCs w:val="18"/>
              </w:rPr>
            </w:pPr>
            <w:r w:rsidRPr="00BB5F2A">
              <w:rPr>
                <w:b/>
                <w:sz w:val="18"/>
                <w:szCs w:val="18"/>
              </w:rPr>
              <w:t>Probable fuente de contaminación</w:t>
            </w:r>
          </w:p>
        </w:tc>
      </w:tr>
      <w:tr w:rsidR="0058390F" w:rsidRPr="00854963" w:rsidTr="00BB5F2A">
        <w:trPr>
          <w:trHeight w:val="1115"/>
        </w:trPr>
        <w:tc>
          <w:tcPr>
            <w:tcW w:w="868" w:type="dxa"/>
          </w:tcPr>
          <w:p w:rsidR="00854963" w:rsidRPr="00BB5F2A" w:rsidRDefault="00854963" w:rsidP="00854963">
            <w:pPr>
              <w:spacing w:after="200"/>
              <w:jc w:val="center"/>
              <w:rPr>
                <w:rFonts w:asciiTheme="minorHAnsi" w:eastAsia="SansSerif" w:hAnsiTheme="minorHAnsi" w:cs="SansSerif"/>
                <w:b/>
                <w:color w:val="000000"/>
                <w:sz w:val="17"/>
                <w:szCs w:val="17"/>
              </w:rPr>
            </w:pPr>
          </w:p>
          <w:p w:rsidR="00854963" w:rsidRPr="00BB5F2A" w:rsidRDefault="00854963" w:rsidP="00854963">
            <w:pPr>
              <w:spacing w:after="200"/>
              <w:jc w:val="center"/>
              <w:rPr>
                <w:rFonts w:asciiTheme="minorHAnsi" w:eastAsia="SansSerif" w:hAnsiTheme="minorHAnsi" w:cs="SansSerif"/>
                <w:b/>
                <w:color w:val="000000"/>
                <w:sz w:val="17"/>
                <w:szCs w:val="17"/>
              </w:rPr>
            </w:pPr>
            <w:r w:rsidRPr="00BB5F2A">
              <w:rPr>
                <w:rFonts w:asciiTheme="minorHAnsi" w:eastAsia="SansSerif" w:hAnsiTheme="minorHAnsi" w:cs="SansSerif"/>
                <w:b/>
                <w:color w:val="000000"/>
                <w:sz w:val="17"/>
                <w:szCs w:val="17"/>
              </w:rPr>
              <w:t>Cobre</w:t>
            </w:r>
          </w:p>
        </w:tc>
        <w:tc>
          <w:tcPr>
            <w:tcW w:w="909" w:type="dxa"/>
          </w:tcPr>
          <w:p w:rsidR="00854963" w:rsidRDefault="00854963" w:rsidP="00656B06">
            <w:pPr>
              <w:spacing w:after="200"/>
              <w:rPr>
                <w:rFonts w:asciiTheme="minorHAnsi" w:eastAsia="SansSerif" w:hAnsiTheme="minorHAnsi" w:cs="SansSerif"/>
                <w:color w:val="000000"/>
                <w:sz w:val="17"/>
                <w:szCs w:val="17"/>
              </w:rPr>
            </w:pPr>
          </w:p>
          <w:p w:rsidR="00656B06" w:rsidRPr="00BB5F2A" w:rsidRDefault="00656B06" w:rsidP="00B77238">
            <w:pPr>
              <w:spacing w:after="200"/>
              <w:jc w:val="center"/>
              <w:rPr>
                <w:rFonts w:asciiTheme="minorHAnsi" w:eastAsia="SansSerif" w:hAnsiTheme="minorHAnsi" w:cs="SansSerif"/>
                <w:color w:val="000000"/>
                <w:sz w:val="17"/>
                <w:szCs w:val="17"/>
              </w:rPr>
            </w:pPr>
            <w:r>
              <w:rPr>
                <w:rFonts w:asciiTheme="minorHAnsi" w:eastAsia="SansSerif" w:hAnsiTheme="minorHAnsi" w:cs="SansSerif"/>
                <w:color w:val="000000"/>
                <w:sz w:val="17"/>
                <w:szCs w:val="17"/>
              </w:rPr>
              <w:t>2022</w:t>
            </w:r>
          </w:p>
        </w:tc>
        <w:tc>
          <w:tcPr>
            <w:tcW w:w="80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1.3</w:t>
            </w:r>
          </w:p>
        </w:tc>
        <w:tc>
          <w:tcPr>
            <w:tcW w:w="89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1.3</w:t>
            </w:r>
          </w:p>
        </w:tc>
        <w:tc>
          <w:tcPr>
            <w:tcW w:w="116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0.31</w:t>
            </w:r>
          </w:p>
        </w:tc>
        <w:tc>
          <w:tcPr>
            <w:tcW w:w="988"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573956" w:rsidRPr="00BB5F2A" w:rsidRDefault="00573956"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30</w:t>
            </w:r>
          </w:p>
        </w:tc>
        <w:tc>
          <w:tcPr>
            <w:tcW w:w="716"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ppm</w:t>
            </w:r>
          </w:p>
        </w:tc>
        <w:tc>
          <w:tcPr>
            <w:tcW w:w="1004"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N</w:t>
            </w:r>
          </w:p>
        </w:tc>
        <w:tc>
          <w:tcPr>
            <w:tcW w:w="2146" w:type="dxa"/>
          </w:tcPr>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Erosión de los depósitos naturales; Lixiviación de los conservantes de la madera; Corrosión de los sistemas de plomería domésticos</w:t>
            </w:r>
          </w:p>
        </w:tc>
      </w:tr>
      <w:tr w:rsidR="0058390F" w:rsidRPr="00854963" w:rsidTr="0058390F">
        <w:tc>
          <w:tcPr>
            <w:tcW w:w="868" w:type="dxa"/>
          </w:tcPr>
          <w:p w:rsidR="00854963" w:rsidRPr="00BB5F2A" w:rsidRDefault="00854963" w:rsidP="00854963">
            <w:pPr>
              <w:spacing w:after="200"/>
              <w:jc w:val="center"/>
              <w:rPr>
                <w:rFonts w:asciiTheme="minorHAnsi" w:eastAsia="SansSerif" w:hAnsiTheme="minorHAnsi" w:cs="SansSerif"/>
                <w:b/>
                <w:color w:val="000000"/>
                <w:sz w:val="17"/>
                <w:szCs w:val="17"/>
              </w:rPr>
            </w:pPr>
          </w:p>
          <w:p w:rsidR="00854963" w:rsidRPr="00BB5F2A" w:rsidRDefault="00854963" w:rsidP="00854963">
            <w:pPr>
              <w:spacing w:after="200"/>
              <w:jc w:val="center"/>
              <w:rPr>
                <w:rFonts w:asciiTheme="minorHAnsi" w:eastAsia="SansSerif" w:hAnsiTheme="minorHAnsi" w:cs="SansSerif"/>
                <w:b/>
                <w:color w:val="000000"/>
                <w:sz w:val="17"/>
                <w:szCs w:val="17"/>
              </w:rPr>
            </w:pPr>
            <w:r w:rsidRPr="00BB5F2A">
              <w:rPr>
                <w:rFonts w:asciiTheme="minorHAnsi" w:eastAsia="SansSerif" w:hAnsiTheme="minorHAnsi" w:cs="SansSerif"/>
                <w:b/>
                <w:color w:val="000000"/>
                <w:sz w:val="17"/>
                <w:szCs w:val="17"/>
              </w:rPr>
              <w:t>Conducir</w:t>
            </w:r>
          </w:p>
        </w:tc>
        <w:tc>
          <w:tcPr>
            <w:tcW w:w="90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656B06" w:rsidP="00854963">
            <w:pPr>
              <w:spacing w:after="200"/>
              <w:jc w:val="center"/>
              <w:rPr>
                <w:rFonts w:asciiTheme="minorHAnsi" w:eastAsia="SansSerif" w:hAnsiTheme="minorHAnsi" w:cs="SansSerif"/>
                <w:color w:val="000000"/>
                <w:sz w:val="17"/>
                <w:szCs w:val="17"/>
              </w:rPr>
            </w:pPr>
            <w:r>
              <w:rPr>
                <w:rFonts w:asciiTheme="minorHAnsi" w:eastAsia="SansSerif" w:hAnsiTheme="minorHAnsi" w:cs="SansSerif"/>
                <w:color w:val="000000"/>
                <w:sz w:val="17"/>
                <w:szCs w:val="17"/>
              </w:rPr>
              <w:t>2022</w:t>
            </w:r>
          </w:p>
        </w:tc>
        <w:tc>
          <w:tcPr>
            <w:tcW w:w="80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0</w:t>
            </w:r>
          </w:p>
        </w:tc>
        <w:tc>
          <w:tcPr>
            <w:tcW w:w="89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15</w:t>
            </w:r>
          </w:p>
        </w:tc>
        <w:tc>
          <w:tcPr>
            <w:tcW w:w="116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A7339F" w:rsidP="00854963">
            <w:pPr>
              <w:spacing w:after="200"/>
              <w:jc w:val="center"/>
              <w:rPr>
                <w:rFonts w:asciiTheme="minorHAnsi" w:eastAsia="SansSerif" w:hAnsiTheme="minorHAnsi" w:cs="SansSerif"/>
                <w:color w:val="000000"/>
                <w:sz w:val="17"/>
                <w:szCs w:val="17"/>
              </w:rPr>
            </w:pPr>
            <w:r>
              <w:rPr>
                <w:rFonts w:asciiTheme="minorHAnsi" w:eastAsia="SansSerif" w:hAnsiTheme="minorHAnsi" w:cs="SansSerif"/>
                <w:color w:val="000000"/>
                <w:sz w:val="17"/>
                <w:szCs w:val="17"/>
              </w:rPr>
              <w:t>1.8</w:t>
            </w:r>
          </w:p>
        </w:tc>
        <w:tc>
          <w:tcPr>
            <w:tcW w:w="988"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573956"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30</w:t>
            </w:r>
          </w:p>
        </w:tc>
        <w:tc>
          <w:tcPr>
            <w:tcW w:w="716"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Ppb</w:t>
            </w:r>
          </w:p>
        </w:tc>
        <w:tc>
          <w:tcPr>
            <w:tcW w:w="1004"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N</w:t>
            </w:r>
          </w:p>
        </w:tc>
        <w:tc>
          <w:tcPr>
            <w:tcW w:w="2146" w:type="dxa"/>
          </w:tcPr>
          <w:p w:rsidR="00854963"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Corrosión de los sistemas de plomería del hogar; Erosión de los depósitos naturales</w:t>
            </w:r>
          </w:p>
        </w:tc>
      </w:tr>
    </w:tbl>
    <w:p w:rsidR="00807D95" w:rsidRPr="00807D95" w:rsidRDefault="00807D95" w:rsidP="00807D95">
      <w:pPr>
        <w:spacing w:after="60"/>
        <w:ind w:left="317" w:hanging="317"/>
        <w:rPr>
          <w:rFonts w:asciiTheme="minorHAnsi" w:eastAsia="SansSerif" w:hAnsiTheme="minorHAnsi" w:cs="SansSerif"/>
          <w:b/>
          <w:color w:val="000000"/>
          <w:sz w:val="20"/>
          <w:szCs w:val="20"/>
        </w:rPr>
      </w:pPr>
    </w:p>
    <w:p w:rsidR="004B4D30" w:rsidRDefault="004B4D30" w:rsidP="00807D95">
      <w:pPr>
        <w:spacing w:after="120"/>
        <w:ind w:left="317" w:hanging="317"/>
        <w:rPr>
          <w:rFonts w:asciiTheme="minorHAnsi" w:eastAsia="SansSerif" w:hAnsiTheme="minorHAnsi" w:cs="SansSerif"/>
          <w:b/>
          <w:color w:val="000000"/>
          <w:sz w:val="28"/>
          <w:szCs w:val="28"/>
        </w:rPr>
      </w:pPr>
      <w:r>
        <w:rPr>
          <w:rFonts w:asciiTheme="minorHAnsi" w:eastAsia="SansSerif" w:hAnsiTheme="minorHAnsi" w:cs="SansSerif"/>
          <w:b/>
          <w:color w:val="000000"/>
          <w:sz w:val="28"/>
          <w:szCs w:val="28"/>
        </w:rPr>
        <w:t>Resultados de las pruebas de calidad del agua</w:t>
      </w:r>
    </w:p>
    <w:p w:rsidR="004B4D30" w:rsidRPr="004B4D30" w:rsidRDefault="004B4D30" w:rsidP="004B4D30">
      <w:pPr>
        <w:pStyle w:val="NoSpacing"/>
        <w:rPr>
          <w:b/>
          <w:sz w:val="24"/>
          <w:szCs w:val="24"/>
        </w:rPr>
      </w:pPr>
      <w:r>
        <w:rPr>
          <w:b/>
          <w:sz w:val="24"/>
          <w:szCs w:val="24"/>
        </w:rPr>
        <w:t>Contaminantes regulados</w:t>
      </w:r>
    </w:p>
    <w:tbl>
      <w:tblPr>
        <w:tblStyle w:val="TableGrid"/>
        <w:tblW w:w="0" w:type="auto"/>
        <w:tblLook w:val="04A0" w:firstRow="1" w:lastRow="0" w:firstColumn="1" w:lastColumn="0" w:noHBand="0" w:noVBand="1"/>
      </w:tblPr>
      <w:tblGrid>
        <w:gridCol w:w="1353"/>
        <w:gridCol w:w="1053"/>
        <w:gridCol w:w="1050"/>
        <w:gridCol w:w="1050"/>
        <w:gridCol w:w="753"/>
        <w:gridCol w:w="810"/>
        <w:gridCol w:w="990"/>
        <w:gridCol w:w="1080"/>
        <w:gridCol w:w="1728"/>
      </w:tblGrid>
      <w:tr w:rsidR="006757CE" w:rsidRPr="004B4D30" w:rsidTr="006757CE">
        <w:tc>
          <w:tcPr>
            <w:tcW w:w="1062" w:type="dxa"/>
          </w:tcPr>
          <w:p w:rsidR="004B4D30" w:rsidRPr="00807D95" w:rsidRDefault="004B4D30" w:rsidP="004B4D30">
            <w:pPr>
              <w:pStyle w:val="NoSpacing"/>
              <w:jc w:val="center"/>
              <w:rPr>
                <w:b/>
                <w:i/>
                <w:sz w:val="18"/>
                <w:szCs w:val="18"/>
              </w:rPr>
            </w:pPr>
            <w:r w:rsidRPr="00807D95">
              <w:rPr>
                <w:b/>
                <w:i/>
                <w:sz w:val="18"/>
                <w:szCs w:val="18"/>
              </w:rPr>
              <w:t>Desinfección y subproductos de desinfección</w:t>
            </w:r>
          </w:p>
        </w:tc>
        <w:tc>
          <w:tcPr>
            <w:tcW w:w="1053"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Fecha de recogida</w:t>
            </w:r>
          </w:p>
        </w:tc>
        <w:tc>
          <w:tcPr>
            <w:tcW w:w="1050" w:type="dxa"/>
          </w:tcPr>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Nivel más alto detectado</w:t>
            </w:r>
          </w:p>
        </w:tc>
        <w:tc>
          <w:tcPr>
            <w:tcW w:w="1050" w:type="dxa"/>
          </w:tcPr>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Rango de niveles detectados</w:t>
            </w:r>
          </w:p>
        </w:tc>
        <w:tc>
          <w:tcPr>
            <w:tcW w:w="753"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MCLG</w:t>
            </w:r>
          </w:p>
        </w:tc>
        <w:tc>
          <w:tcPr>
            <w:tcW w:w="810"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MCL (en inglés)</w:t>
            </w:r>
          </w:p>
        </w:tc>
        <w:tc>
          <w:tcPr>
            <w:tcW w:w="990"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Unidades</w:t>
            </w:r>
          </w:p>
        </w:tc>
        <w:tc>
          <w:tcPr>
            <w:tcW w:w="1080"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Violación</w:t>
            </w:r>
          </w:p>
        </w:tc>
        <w:tc>
          <w:tcPr>
            <w:tcW w:w="1728"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Probable fuente de contaminación</w:t>
            </w:r>
          </w:p>
        </w:tc>
      </w:tr>
      <w:tr w:rsidR="006757CE" w:rsidRPr="004B4D30" w:rsidTr="006757CE">
        <w:tc>
          <w:tcPr>
            <w:tcW w:w="1062" w:type="dxa"/>
          </w:tcPr>
          <w:p w:rsidR="004B4D30" w:rsidRPr="00BB5F2A" w:rsidRDefault="006757CE" w:rsidP="004B4D30">
            <w:pPr>
              <w:pStyle w:val="NoSpacing"/>
              <w:rPr>
                <w:b/>
                <w:sz w:val="17"/>
                <w:szCs w:val="17"/>
              </w:rPr>
            </w:pPr>
            <w:r w:rsidRPr="00BB5F2A">
              <w:rPr>
                <w:b/>
                <w:sz w:val="17"/>
                <w:szCs w:val="17"/>
              </w:rPr>
              <w:t>Ácidos haloacéticos (HAA5)</w:t>
            </w:r>
          </w:p>
        </w:tc>
        <w:tc>
          <w:tcPr>
            <w:tcW w:w="1053" w:type="dxa"/>
          </w:tcPr>
          <w:p w:rsidR="004B4D30" w:rsidRPr="00BB5F2A" w:rsidRDefault="004B4D30" w:rsidP="006757CE">
            <w:pPr>
              <w:pStyle w:val="NoSpacing"/>
              <w:jc w:val="center"/>
              <w:rPr>
                <w:sz w:val="17"/>
                <w:szCs w:val="17"/>
              </w:rPr>
            </w:pPr>
          </w:p>
          <w:p w:rsidR="006757CE" w:rsidRPr="00BB5F2A" w:rsidRDefault="00775736" w:rsidP="006757CE">
            <w:pPr>
              <w:pStyle w:val="NoSpacing"/>
              <w:jc w:val="center"/>
              <w:rPr>
                <w:sz w:val="17"/>
                <w:szCs w:val="17"/>
              </w:rPr>
            </w:pPr>
            <w:r w:rsidRPr="00BB5F2A">
              <w:rPr>
                <w:sz w:val="17"/>
                <w:szCs w:val="17"/>
              </w:rPr>
              <w:t>2024</w:t>
            </w:r>
          </w:p>
          <w:p w:rsidR="00775736" w:rsidRPr="00BB5F2A" w:rsidRDefault="00775736" w:rsidP="006757CE">
            <w:pPr>
              <w:pStyle w:val="NoSpacing"/>
              <w:jc w:val="center"/>
              <w:rPr>
                <w:sz w:val="17"/>
                <w:szCs w:val="17"/>
              </w:rPr>
            </w:pPr>
          </w:p>
          <w:p w:rsidR="00775736" w:rsidRPr="00BB5F2A" w:rsidRDefault="00775736" w:rsidP="006757CE">
            <w:pPr>
              <w:pStyle w:val="NoSpacing"/>
              <w:jc w:val="center"/>
              <w:rPr>
                <w:sz w:val="17"/>
                <w:szCs w:val="17"/>
              </w:rPr>
            </w:pPr>
          </w:p>
        </w:tc>
        <w:tc>
          <w:tcPr>
            <w:tcW w:w="1050" w:type="dxa"/>
          </w:tcPr>
          <w:p w:rsidR="00FE2EB6" w:rsidRPr="00BB5F2A" w:rsidRDefault="00FE2EB6" w:rsidP="006757CE">
            <w:pPr>
              <w:pStyle w:val="NoSpacing"/>
              <w:jc w:val="center"/>
              <w:rPr>
                <w:sz w:val="17"/>
                <w:szCs w:val="17"/>
              </w:rPr>
            </w:pPr>
          </w:p>
          <w:p w:rsidR="00775736" w:rsidRPr="00BB5F2A" w:rsidRDefault="00EA7B97" w:rsidP="00775736">
            <w:pPr>
              <w:pStyle w:val="NoSpacing"/>
              <w:jc w:val="center"/>
              <w:rPr>
                <w:sz w:val="17"/>
                <w:szCs w:val="17"/>
              </w:rPr>
            </w:pPr>
            <w:r>
              <w:rPr>
                <w:sz w:val="17"/>
                <w:szCs w:val="17"/>
              </w:rPr>
              <w:t>22</w:t>
            </w:r>
          </w:p>
          <w:p w:rsidR="00853103" w:rsidRPr="00BB5F2A" w:rsidRDefault="00853103" w:rsidP="00775736">
            <w:pPr>
              <w:pStyle w:val="NoSpacing"/>
              <w:jc w:val="center"/>
              <w:rPr>
                <w:sz w:val="17"/>
                <w:szCs w:val="17"/>
              </w:rPr>
            </w:pPr>
          </w:p>
        </w:tc>
        <w:tc>
          <w:tcPr>
            <w:tcW w:w="1050" w:type="dxa"/>
          </w:tcPr>
          <w:p w:rsidR="006757CE" w:rsidRPr="00BB5F2A" w:rsidRDefault="006757CE" w:rsidP="006757CE">
            <w:pPr>
              <w:pStyle w:val="NoSpacing"/>
              <w:jc w:val="center"/>
              <w:rPr>
                <w:sz w:val="17"/>
                <w:szCs w:val="17"/>
              </w:rPr>
            </w:pPr>
          </w:p>
          <w:p w:rsidR="00100E44" w:rsidRPr="00BB5F2A" w:rsidRDefault="00F47F57" w:rsidP="00A7339F">
            <w:pPr>
              <w:pStyle w:val="NoSpacing"/>
              <w:jc w:val="center"/>
              <w:rPr>
                <w:sz w:val="17"/>
                <w:szCs w:val="17"/>
              </w:rPr>
            </w:pPr>
            <w:r>
              <w:rPr>
                <w:sz w:val="17"/>
                <w:szCs w:val="17"/>
              </w:rPr>
              <w:t>11.9 – 26.7</w:t>
            </w:r>
          </w:p>
        </w:tc>
        <w:tc>
          <w:tcPr>
            <w:tcW w:w="753" w:type="dxa"/>
          </w:tcPr>
          <w:p w:rsidR="004B4D30" w:rsidRPr="00BB5F2A" w:rsidRDefault="006757CE" w:rsidP="006757CE">
            <w:pPr>
              <w:pStyle w:val="NoSpacing"/>
              <w:jc w:val="center"/>
              <w:rPr>
                <w:sz w:val="17"/>
                <w:szCs w:val="17"/>
              </w:rPr>
            </w:pPr>
            <w:r w:rsidRPr="00BB5F2A">
              <w:rPr>
                <w:sz w:val="17"/>
                <w:szCs w:val="17"/>
              </w:rPr>
              <w:t>No hay gol para el total</w:t>
            </w:r>
          </w:p>
        </w:tc>
        <w:tc>
          <w:tcPr>
            <w:tcW w:w="810" w:type="dxa"/>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60</w:t>
            </w:r>
          </w:p>
        </w:tc>
        <w:tc>
          <w:tcPr>
            <w:tcW w:w="990" w:type="dxa"/>
          </w:tcPr>
          <w:p w:rsidR="004B4D30" w:rsidRPr="00BB5F2A" w:rsidRDefault="004B4D30" w:rsidP="006757CE">
            <w:pPr>
              <w:pStyle w:val="NoSpacing"/>
              <w:jc w:val="center"/>
              <w:rPr>
                <w:sz w:val="17"/>
                <w:szCs w:val="17"/>
              </w:rPr>
            </w:pPr>
          </w:p>
          <w:p w:rsidR="006757CE" w:rsidRPr="00BB5F2A" w:rsidRDefault="008C151D" w:rsidP="006757CE">
            <w:pPr>
              <w:pStyle w:val="NoSpacing"/>
              <w:jc w:val="center"/>
              <w:rPr>
                <w:sz w:val="17"/>
                <w:szCs w:val="17"/>
              </w:rPr>
            </w:pPr>
            <w:r>
              <w:rPr>
                <w:sz w:val="17"/>
                <w:szCs w:val="17"/>
              </w:rPr>
              <w:t>Ppb</w:t>
            </w:r>
          </w:p>
        </w:tc>
        <w:tc>
          <w:tcPr>
            <w:tcW w:w="1080" w:type="dxa"/>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N</w:t>
            </w:r>
          </w:p>
        </w:tc>
        <w:tc>
          <w:tcPr>
            <w:tcW w:w="1728" w:type="dxa"/>
          </w:tcPr>
          <w:p w:rsidR="004B4D30" w:rsidRPr="00BB5F2A" w:rsidRDefault="006757CE" w:rsidP="006757CE">
            <w:pPr>
              <w:pStyle w:val="NoSpacing"/>
              <w:jc w:val="center"/>
              <w:rPr>
                <w:sz w:val="17"/>
                <w:szCs w:val="17"/>
              </w:rPr>
            </w:pPr>
            <w:r w:rsidRPr="00BB5F2A">
              <w:rPr>
                <w:sz w:val="17"/>
                <w:szCs w:val="17"/>
              </w:rPr>
              <w:t>Subproducto de la desinfección del agua potable</w:t>
            </w:r>
          </w:p>
        </w:tc>
      </w:tr>
      <w:tr w:rsidR="006757CE" w:rsidRPr="004B4D30" w:rsidTr="00807D95">
        <w:tc>
          <w:tcPr>
            <w:tcW w:w="1062" w:type="dxa"/>
            <w:tcBorders>
              <w:bottom w:val="single" w:sz="4" w:space="0" w:color="auto"/>
            </w:tcBorders>
          </w:tcPr>
          <w:p w:rsidR="004B4D30" w:rsidRPr="00BB5F2A" w:rsidRDefault="006757CE" w:rsidP="004B4D30">
            <w:pPr>
              <w:pStyle w:val="NoSpacing"/>
              <w:rPr>
                <w:b/>
                <w:sz w:val="17"/>
                <w:szCs w:val="17"/>
              </w:rPr>
            </w:pPr>
            <w:r w:rsidRPr="00BB5F2A">
              <w:rPr>
                <w:b/>
                <w:sz w:val="17"/>
                <w:szCs w:val="17"/>
              </w:rPr>
              <w:lastRenderedPageBreak/>
              <w:t>Trihalometanos totales</w:t>
            </w:r>
          </w:p>
        </w:tc>
        <w:tc>
          <w:tcPr>
            <w:tcW w:w="1053"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775736" w:rsidP="006757CE">
            <w:pPr>
              <w:pStyle w:val="NoSpacing"/>
              <w:jc w:val="center"/>
              <w:rPr>
                <w:sz w:val="17"/>
                <w:szCs w:val="17"/>
              </w:rPr>
            </w:pPr>
            <w:r w:rsidRPr="00BB5F2A">
              <w:rPr>
                <w:sz w:val="17"/>
                <w:szCs w:val="17"/>
              </w:rPr>
              <w:t>2024</w:t>
            </w:r>
          </w:p>
        </w:tc>
        <w:tc>
          <w:tcPr>
            <w:tcW w:w="105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F47F57" w:rsidP="00F47F57">
            <w:pPr>
              <w:pStyle w:val="NoSpacing"/>
              <w:rPr>
                <w:sz w:val="17"/>
                <w:szCs w:val="17"/>
              </w:rPr>
            </w:pPr>
            <w:r>
              <w:rPr>
                <w:sz w:val="17"/>
                <w:szCs w:val="17"/>
              </w:rPr>
              <w:t xml:space="preserve">     43</w:t>
            </w:r>
          </w:p>
        </w:tc>
        <w:tc>
          <w:tcPr>
            <w:tcW w:w="105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100E44" w:rsidP="006757CE">
            <w:pPr>
              <w:pStyle w:val="NoSpacing"/>
              <w:jc w:val="center"/>
              <w:rPr>
                <w:sz w:val="17"/>
                <w:szCs w:val="17"/>
              </w:rPr>
            </w:pPr>
            <w:r>
              <w:rPr>
                <w:sz w:val="17"/>
                <w:szCs w:val="17"/>
              </w:rPr>
              <w:t>23.4 – 56</w:t>
            </w:r>
          </w:p>
        </w:tc>
        <w:tc>
          <w:tcPr>
            <w:tcW w:w="753" w:type="dxa"/>
            <w:tcBorders>
              <w:bottom w:val="single" w:sz="4" w:space="0" w:color="auto"/>
            </w:tcBorders>
          </w:tcPr>
          <w:p w:rsidR="004B4D30" w:rsidRPr="00BB5F2A" w:rsidRDefault="006757CE" w:rsidP="006757CE">
            <w:pPr>
              <w:pStyle w:val="NoSpacing"/>
              <w:jc w:val="center"/>
              <w:rPr>
                <w:sz w:val="17"/>
                <w:szCs w:val="17"/>
              </w:rPr>
            </w:pPr>
            <w:r w:rsidRPr="00BB5F2A">
              <w:rPr>
                <w:sz w:val="17"/>
                <w:szCs w:val="17"/>
              </w:rPr>
              <w:t>No hay gol para el total</w:t>
            </w:r>
          </w:p>
        </w:tc>
        <w:tc>
          <w:tcPr>
            <w:tcW w:w="81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80</w:t>
            </w:r>
          </w:p>
        </w:tc>
        <w:tc>
          <w:tcPr>
            <w:tcW w:w="99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Ppb</w:t>
            </w:r>
          </w:p>
        </w:tc>
        <w:tc>
          <w:tcPr>
            <w:tcW w:w="108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N</w:t>
            </w:r>
          </w:p>
        </w:tc>
        <w:tc>
          <w:tcPr>
            <w:tcW w:w="1728" w:type="dxa"/>
            <w:tcBorders>
              <w:bottom w:val="single" w:sz="4" w:space="0" w:color="auto"/>
            </w:tcBorders>
          </w:tcPr>
          <w:p w:rsidR="004B4D30" w:rsidRPr="00BB5F2A" w:rsidRDefault="006757CE" w:rsidP="006757CE">
            <w:pPr>
              <w:pStyle w:val="NoSpacing"/>
              <w:jc w:val="center"/>
              <w:rPr>
                <w:sz w:val="17"/>
                <w:szCs w:val="17"/>
              </w:rPr>
            </w:pPr>
            <w:r w:rsidRPr="00BB5F2A">
              <w:rPr>
                <w:sz w:val="17"/>
                <w:szCs w:val="17"/>
              </w:rPr>
              <w:t>Subproducto de la desinfección del agua potable</w:t>
            </w:r>
          </w:p>
        </w:tc>
      </w:tr>
      <w:tr w:rsidR="00807D95" w:rsidRPr="004B4D30" w:rsidTr="00807D95">
        <w:trPr>
          <w:trHeight w:hRule="exact" w:val="144"/>
        </w:trPr>
        <w:tc>
          <w:tcPr>
            <w:tcW w:w="1062" w:type="dxa"/>
            <w:shd w:val="clear" w:color="auto" w:fill="808080" w:themeFill="background1" w:themeFillShade="80"/>
          </w:tcPr>
          <w:p w:rsidR="00807D95" w:rsidRPr="00807D95" w:rsidRDefault="00807D95" w:rsidP="004B4D30">
            <w:pPr>
              <w:pStyle w:val="NoSpacing"/>
              <w:rPr>
                <w:b/>
                <w:i/>
                <w:sz w:val="18"/>
                <w:szCs w:val="18"/>
              </w:rPr>
            </w:pPr>
          </w:p>
        </w:tc>
        <w:tc>
          <w:tcPr>
            <w:tcW w:w="1053" w:type="dxa"/>
            <w:shd w:val="clear" w:color="auto" w:fill="808080" w:themeFill="background1" w:themeFillShade="80"/>
          </w:tcPr>
          <w:p w:rsidR="00807D95" w:rsidRPr="00807D95" w:rsidRDefault="00807D95" w:rsidP="006757CE">
            <w:pPr>
              <w:pStyle w:val="NoSpacing"/>
              <w:jc w:val="center"/>
              <w:rPr>
                <w:b/>
                <w:i/>
                <w:sz w:val="18"/>
                <w:szCs w:val="18"/>
              </w:rPr>
            </w:pPr>
          </w:p>
        </w:tc>
        <w:tc>
          <w:tcPr>
            <w:tcW w:w="1050" w:type="dxa"/>
            <w:shd w:val="clear" w:color="auto" w:fill="808080" w:themeFill="background1" w:themeFillShade="80"/>
          </w:tcPr>
          <w:p w:rsidR="00807D95" w:rsidRPr="00807D95" w:rsidRDefault="00807D95" w:rsidP="006757CE">
            <w:pPr>
              <w:pStyle w:val="NoSpacing"/>
              <w:jc w:val="center"/>
              <w:rPr>
                <w:b/>
                <w:i/>
                <w:sz w:val="18"/>
                <w:szCs w:val="18"/>
              </w:rPr>
            </w:pPr>
          </w:p>
        </w:tc>
        <w:tc>
          <w:tcPr>
            <w:tcW w:w="1050" w:type="dxa"/>
            <w:shd w:val="clear" w:color="auto" w:fill="808080" w:themeFill="background1" w:themeFillShade="80"/>
          </w:tcPr>
          <w:p w:rsidR="00807D95" w:rsidRPr="00807D95" w:rsidRDefault="00807D95" w:rsidP="006757CE">
            <w:pPr>
              <w:pStyle w:val="NoSpacing"/>
              <w:jc w:val="center"/>
              <w:rPr>
                <w:b/>
                <w:i/>
                <w:sz w:val="18"/>
                <w:szCs w:val="18"/>
              </w:rPr>
            </w:pPr>
          </w:p>
        </w:tc>
        <w:tc>
          <w:tcPr>
            <w:tcW w:w="753" w:type="dxa"/>
            <w:shd w:val="clear" w:color="auto" w:fill="808080" w:themeFill="background1" w:themeFillShade="80"/>
          </w:tcPr>
          <w:p w:rsidR="00807D95" w:rsidRPr="00807D95" w:rsidRDefault="00807D95" w:rsidP="006757CE">
            <w:pPr>
              <w:pStyle w:val="NoSpacing"/>
              <w:jc w:val="center"/>
              <w:rPr>
                <w:b/>
                <w:i/>
                <w:sz w:val="18"/>
                <w:szCs w:val="18"/>
              </w:rPr>
            </w:pPr>
          </w:p>
        </w:tc>
        <w:tc>
          <w:tcPr>
            <w:tcW w:w="810" w:type="dxa"/>
            <w:shd w:val="clear" w:color="auto" w:fill="808080" w:themeFill="background1" w:themeFillShade="80"/>
          </w:tcPr>
          <w:p w:rsidR="00807D95" w:rsidRPr="00807D95" w:rsidRDefault="00807D95" w:rsidP="006757CE">
            <w:pPr>
              <w:pStyle w:val="NoSpacing"/>
              <w:jc w:val="center"/>
              <w:rPr>
                <w:b/>
                <w:i/>
                <w:sz w:val="18"/>
                <w:szCs w:val="18"/>
              </w:rPr>
            </w:pPr>
          </w:p>
        </w:tc>
        <w:tc>
          <w:tcPr>
            <w:tcW w:w="990" w:type="dxa"/>
            <w:shd w:val="clear" w:color="auto" w:fill="808080" w:themeFill="background1" w:themeFillShade="80"/>
          </w:tcPr>
          <w:p w:rsidR="00807D95" w:rsidRPr="00807D95" w:rsidRDefault="00807D95" w:rsidP="006757CE">
            <w:pPr>
              <w:pStyle w:val="NoSpacing"/>
              <w:jc w:val="center"/>
              <w:rPr>
                <w:b/>
                <w:i/>
                <w:sz w:val="18"/>
                <w:szCs w:val="18"/>
              </w:rPr>
            </w:pPr>
          </w:p>
        </w:tc>
        <w:tc>
          <w:tcPr>
            <w:tcW w:w="1080" w:type="dxa"/>
            <w:shd w:val="clear" w:color="auto" w:fill="808080" w:themeFill="background1" w:themeFillShade="80"/>
          </w:tcPr>
          <w:p w:rsidR="00807D95" w:rsidRPr="00807D95" w:rsidRDefault="00807D95" w:rsidP="006757CE">
            <w:pPr>
              <w:pStyle w:val="NoSpacing"/>
              <w:jc w:val="center"/>
              <w:rPr>
                <w:b/>
                <w:i/>
                <w:sz w:val="18"/>
                <w:szCs w:val="18"/>
              </w:rPr>
            </w:pPr>
          </w:p>
        </w:tc>
        <w:tc>
          <w:tcPr>
            <w:tcW w:w="1728" w:type="dxa"/>
            <w:shd w:val="clear" w:color="auto" w:fill="808080" w:themeFill="background1" w:themeFillShade="80"/>
          </w:tcPr>
          <w:p w:rsidR="00807D95" w:rsidRDefault="00807D95" w:rsidP="006757CE">
            <w:pPr>
              <w:pStyle w:val="NoSpacing"/>
              <w:jc w:val="center"/>
              <w:rPr>
                <w:b/>
                <w:i/>
                <w:sz w:val="18"/>
                <w:szCs w:val="18"/>
              </w:rPr>
            </w:pPr>
          </w:p>
        </w:tc>
      </w:tr>
      <w:tr w:rsidR="006757CE" w:rsidRPr="004B4D30" w:rsidTr="006757CE">
        <w:tc>
          <w:tcPr>
            <w:tcW w:w="1062" w:type="dxa"/>
          </w:tcPr>
          <w:p w:rsidR="00807D95" w:rsidRPr="00807D95" w:rsidRDefault="00807D95" w:rsidP="004B4D30">
            <w:pPr>
              <w:pStyle w:val="NoSpacing"/>
              <w:rPr>
                <w:b/>
                <w:i/>
                <w:sz w:val="18"/>
                <w:szCs w:val="18"/>
              </w:rPr>
            </w:pPr>
          </w:p>
          <w:p w:rsidR="004B4D30" w:rsidRPr="00807D95" w:rsidRDefault="006757CE" w:rsidP="004B4D30">
            <w:pPr>
              <w:pStyle w:val="NoSpacing"/>
              <w:rPr>
                <w:b/>
                <w:i/>
                <w:sz w:val="18"/>
                <w:szCs w:val="18"/>
              </w:rPr>
            </w:pPr>
            <w:r w:rsidRPr="00807D95">
              <w:rPr>
                <w:b/>
                <w:i/>
                <w:sz w:val="18"/>
                <w:szCs w:val="18"/>
              </w:rPr>
              <w:t>Contaminantes inorgánicos</w:t>
            </w:r>
          </w:p>
        </w:tc>
        <w:tc>
          <w:tcPr>
            <w:tcW w:w="1053" w:type="dxa"/>
          </w:tcPr>
          <w:p w:rsidR="004B4D30" w:rsidRPr="00807D95" w:rsidRDefault="004B4D30"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Fecha de recogida</w:t>
            </w:r>
          </w:p>
        </w:tc>
        <w:tc>
          <w:tcPr>
            <w:tcW w:w="1050" w:type="dxa"/>
          </w:tcPr>
          <w:p w:rsidR="006757CE" w:rsidRPr="00807D95" w:rsidRDefault="006757CE" w:rsidP="006757CE">
            <w:pPr>
              <w:pStyle w:val="NoSpacing"/>
              <w:jc w:val="center"/>
              <w:rPr>
                <w:b/>
                <w:i/>
                <w:sz w:val="18"/>
                <w:szCs w:val="18"/>
              </w:rPr>
            </w:pPr>
            <w:r w:rsidRPr="00807D95">
              <w:rPr>
                <w:b/>
                <w:i/>
                <w:sz w:val="18"/>
                <w:szCs w:val="18"/>
              </w:rPr>
              <w:t>Nivel más alto detectado</w:t>
            </w:r>
          </w:p>
        </w:tc>
        <w:tc>
          <w:tcPr>
            <w:tcW w:w="1050" w:type="dxa"/>
          </w:tcPr>
          <w:p w:rsidR="006757CE" w:rsidRPr="00807D95" w:rsidRDefault="006757CE" w:rsidP="006757CE">
            <w:pPr>
              <w:pStyle w:val="NoSpacing"/>
              <w:jc w:val="center"/>
              <w:rPr>
                <w:b/>
                <w:i/>
                <w:sz w:val="18"/>
                <w:szCs w:val="18"/>
              </w:rPr>
            </w:pPr>
            <w:r w:rsidRPr="00807D95">
              <w:rPr>
                <w:b/>
                <w:i/>
                <w:sz w:val="18"/>
                <w:szCs w:val="18"/>
              </w:rPr>
              <w:t>Rango de niveles detectados</w:t>
            </w:r>
          </w:p>
        </w:tc>
        <w:tc>
          <w:tcPr>
            <w:tcW w:w="753"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807D95">
            <w:pPr>
              <w:pStyle w:val="NoSpacing"/>
              <w:jc w:val="center"/>
              <w:rPr>
                <w:b/>
                <w:i/>
                <w:sz w:val="18"/>
                <w:szCs w:val="18"/>
              </w:rPr>
            </w:pPr>
            <w:r w:rsidRPr="00807D95">
              <w:rPr>
                <w:b/>
                <w:i/>
                <w:sz w:val="18"/>
                <w:szCs w:val="18"/>
              </w:rPr>
              <w:t>MCLG</w:t>
            </w:r>
          </w:p>
        </w:tc>
        <w:tc>
          <w:tcPr>
            <w:tcW w:w="810"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MCL (en inglés)</w:t>
            </w:r>
          </w:p>
        </w:tc>
        <w:tc>
          <w:tcPr>
            <w:tcW w:w="990"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Unidades</w:t>
            </w:r>
          </w:p>
        </w:tc>
        <w:tc>
          <w:tcPr>
            <w:tcW w:w="1080"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Violación</w:t>
            </w:r>
          </w:p>
        </w:tc>
        <w:tc>
          <w:tcPr>
            <w:tcW w:w="1728" w:type="dxa"/>
          </w:tcPr>
          <w:p w:rsidR="00807D95" w:rsidRDefault="00807D95" w:rsidP="006757CE">
            <w:pPr>
              <w:pStyle w:val="NoSpacing"/>
              <w:jc w:val="center"/>
              <w:rPr>
                <w:b/>
                <w:i/>
                <w:sz w:val="18"/>
                <w:szCs w:val="18"/>
              </w:rPr>
            </w:pPr>
          </w:p>
          <w:p w:rsidR="004B4D30" w:rsidRPr="00807D95" w:rsidRDefault="006757CE" w:rsidP="006757CE">
            <w:pPr>
              <w:pStyle w:val="NoSpacing"/>
              <w:jc w:val="center"/>
              <w:rPr>
                <w:b/>
                <w:i/>
                <w:sz w:val="18"/>
                <w:szCs w:val="18"/>
              </w:rPr>
            </w:pPr>
            <w:r w:rsidRPr="00807D95">
              <w:rPr>
                <w:b/>
                <w:i/>
                <w:sz w:val="18"/>
                <w:szCs w:val="18"/>
              </w:rPr>
              <w:t>Probable fuente de contaminación</w:t>
            </w:r>
          </w:p>
        </w:tc>
      </w:tr>
      <w:tr w:rsidR="006757CE" w:rsidRPr="004B4D30" w:rsidTr="006757CE">
        <w:tc>
          <w:tcPr>
            <w:tcW w:w="1062" w:type="dxa"/>
          </w:tcPr>
          <w:p w:rsidR="004B4D30" w:rsidRPr="00BB5F2A" w:rsidRDefault="006757CE" w:rsidP="004B4D30">
            <w:pPr>
              <w:pStyle w:val="NoSpacing"/>
              <w:rPr>
                <w:b/>
                <w:sz w:val="17"/>
                <w:szCs w:val="17"/>
              </w:rPr>
            </w:pPr>
            <w:r w:rsidRPr="00BB5F2A">
              <w:rPr>
                <w:b/>
                <w:sz w:val="17"/>
                <w:szCs w:val="17"/>
              </w:rPr>
              <w:t>Nitrato (medido como nitrógeno)</w:t>
            </w:r>
          </w:p>
        </w:tc>
        <w:tc>
          <w:tcPr>
            <w:tcW w:w="1053" w:type="dxa"/>
          </w:tcPr>
          <w:p w:rsidR="006757CE" w:rsidRPr="00BB5F2A" w:rsidRDefault="006757CE" w:rsidP="006757CE">
            <w:pPr>
              <w:pStyle w:val="NoSpacing"/>
              <w:jc w:val="center"/>
              <w:rPr>
                <w:sz w:val="17"/>
                <w:szCs w:val="17"/>
              </w:rPr>
            </w:pPr>
          </w:p>
          <w:p w:rsidR="00FE2EB6" w:rsidRPr="00BB5F2A" w:rsidRDefault="00775736" w:rsidP="006757CE">
            <w:pPr>
              <w:pStyle w:val="NoSpacing"/>
              <w:jc w:val="center"/>
              <w:rPr>
                <w:sz w:val="17"/>
                <w:szCs w:val="17"/>
              </w:rPr>
            </w:pPr>
            <w:r w:rsidRPr="00BB5F2A">
              <w:rPr>
                <w:sz w:val="17"/>
                <w:szCs w:val="17"/>
              </w:rPr>
              <w:t>2024</w:t>
            </w:r>
          </w:p>
        </w:tc>
        <w:tc>
          <w:tcPr>
            <w:tcW w:w="1050" w:type="dxa"/>
          </w:tcPr>
          <w:p w:rsidR="0007145C" w:rsidRDefault="0007145C" w:rsidP="0007145C">
            <w:pPr>
              <w:pStyle w:val="NoSpacing"/>
              <w:jc w:val="center"/>
              <w:rPr>
                <w:sz w:val="17"/>
                <w:szCs w:val="17"/>
              </w:rPr>
            </w:pPr>
          </w:p>
          <w:p w:rsidR="002757D0" w:rsidRDefault="00477FD3" w:rsidP="0007145C">
            <w:pPr>
              <w:pStyle w:val="NoSpacing"/>
              <w:jc w:val="center"/>
              <w:rPr>
                <w:sz w:val="17"/>
                <w:szCs w:val="17"/>
              </w:rPr>
            </w:pPr>
            <w:r>
              <w:rPr>
                <w:sz w:val="17"/>
                <w:szCs w:val="17"/>
              </w:rPr>
              <w:t>0.139</w:t>
            </w:r>
          </w:p>
          <w:p w:rsidR="0007145C" w:rsidRDefault="0007145C" w:rsidP="0007145C">
            <w:pPr>
              <w:pStyle w:val="NoSpacing"/>
              <w:jc w:val="center"/>
              <w:rPr>
                <w:sz w:val="17"/>
                <w:szCs w:val="17"/>
              </w:rPr>
            </w:pPr>
          </w:p>
          <w:p w:rsidR="00FE2EB6" w:rsidRPr="00BB5F2A" w:rsidRDefault="00FE2EB6" w:rsidP="002757D0">
            <w:pPr>
              <w:pStyle w:val="NoSpacing"/>
              <w:jc w:val="center"/>
              <w:rPr>
                <w:sz w:val="17"/>
                <w:szCs w:val="17"/>
              </w:rPr>
            </w:pPr>
          </w:p>
        </w:tc>
        <w:tc>
          <w:tcPr>
            <w:tcW w:w="1050" w:type="dxa"/>
          </w:tcPr>
          <w:p w:rsidR="00FC3123" w:rsidRPr="00BB5F2A" w:rsidRDefault="00FC3123" w:rsidP="00FE2EB6">
            <w:pPr>
              <w:pStyle w:val="NoSpacing"/>
              <w:jc w:val="center"/>
              <w:rPr>
                <w:sz w:val="17"/>
                <w:szCs w:val="17"/>
              </w:rPr>
            </w:pPr>
          </w:p>
          <w:p w:rsidR="00FE2EB6" w:rsidRPr="00BB5F2A" w:rsidRDefault="00477FD3" w:rsidP="00853103">
            <w:pPr>
              <w:pStyle w:val="NoSpacing"/>
              <w:jc w:val="center"/>
              <w:rPr>
                <w:sz w:val="17"/>
                <w:szCs w:val="17"/>
              </w:rPr>
            </w:pPr>
            <w:r>
              <w:rPr>
                <w:sz w:val="17"/>
                <w:szCs w:val="17"/>
              </w:rPr>
              <w:t>0.139– 0.139</w:t>
            </w:r>
          </w:p>
        </w:tc>
        <w:tc>
          <w:tcPr>
            <w:tcW w:w="753" w:type="dxa"/>
          </w:tcPr>
          <w:p w:rsidR="004B4D30" w:rsidRPr="00BB5F2A" w:rsidRDefault="004B4D30" w:rsidP="006757CE">
            <w:pPr>
              <w:pStyle w:val="NoSpacing"/>
              <w:jc w:val="center"/>
              <w:rPr>
                <w:sz w:val="17"/>
                <w:szCs w:val="17"/>
              </w:rPr>
            </w:pPr>
          </w:p>
          <w:p w:rsidR="006757CE" w:rsidRPr="00BB5F2A" w:rsidRDefault="00CE4FED" w:rsidP="006757CE">
            <w:pPr>
              <w:pStyle w:val="NoSpacing"/>
              <w:jc w:val="center"/>
              <w:rPr>
                <w:sz w:val="17"/>
                <w:szCs w:val="17"/>
              </w:rPr>
            </w:pPr>
            <w:r>
              <w:rPr>
                <w:sz w:val="17"/>
                <w:szCs w:val="17"/>
              </w:rPr>
              <w:t>10</w:t>
            </w:r>
          </w:p>
        </w:tc>
        <w:tc>
          <w:tcPr>
            <w:tcW w:w="810" w:type="dxa"/>
          </w:tcPr>
          <w:p w:rsidR="004B4D30" w:rsidRPr="00BB5F2A" w:rsidRDefault="004B4D30" w:rsidP="006757CE">
            <w:pPr>
              <w:pStyle w:val="NoSpacing"/>
              <w:jc w:val="center"/>
              <w:rPr>
                <w:sz w:val="17"/>
                <w:szCs w:val="17"/>
              </w:rPr>
            </w:pPr>
          </w:p>
          <w:p w:rsidR="00FC3123" w:rsidRPr="00BB5F2A" w:rsidRDefault="00CE4FED" w:rsidP="006757CE">
            <w:pPr>
              <w:pStyle w:val="NoSpacing"/>
              <w:jc w:val="center"/>
              <w:rPr>
                <w:sz w:val="17"/>
                <w:szCs w:val="17"/>
              </w:rPr>
            </w:pPr>
            <w:r>
              <w:rPr>
                <w:sz w:val="17"/>
                <w:szCs w:val="17"/>
              </w:rPr>
              <w:t>10</w:t>
            </w:r>
          </w:p>
        </w:tc>
        <w:tc>
          <w:tcPr>
            <w:tcW w:w="990" w:type="dxa"/>
          </w:tcPr>
          <w:p w:rsidR="004B4D30" w:rsidRPr="00BB5F2A" w:rsidRDefault="004B4D30" w:rsidP="006757CE">
            <w:pPr>
              <w:pStyle w:val="NoSpacing"/>
              <w:jc w:val="center"/>
              <w:rPr>
                <w:sz w:val="17"/>
                <w:szCs w:val="17"/>
              </w:rPr>
            </w:pPr>
          </w:p>
          <w:p w:rsidR="00FC3123" w:rsidRPr="00BB5F2A" w:rsidRDefault="00FC3123" w:rsidP="006757CE">
            <w:pPr>
              <w:pStyle w:val="NoSpacing"/>
              <w:jc w:val="center"/>
              <w:rPr>
                <w:sz w:val="17"/>
                <w:szCs w:val="17"/>
              </w:rPr>
            </w:pPr>
            <w:r w:rsidRPr="00BB5F2A">
              <w:rPr>
                <w:sz w:val="17"/>
                <w:szCs w:val="17"/>
              </w:rPr>
              <w:t>ppm</w:t>
            </w:r>
          </w:p>
        </w:tc>
        <w:tc>
          <w:tcPr>
            <w:tcW w:w="1080" w:type="dxa"/>
          </w:tcPr>
          <w:p w:rsidR="004B4D30" w:rsidRPr="00BB5F2A" w:rsidRDefault="004B4D30" w:rsidP="006757CE">
            <w:pPr>
              <w:pStyle w:val="NoSpacing"/>
              <w:jc w:val="center"/>
              <w:rPr>
                <w:sz w:val="17"/>
                <w:szCs w:val="17"/>
              </w:rPr>
            </w:pPr>
          </w:p>
          <w:p w:rsidR="00FC3123" w:rsidRPr="00BB5F2A" w:rsidRDefault="00FC3123" w:rsidP="006757CE">
            <w:pPr>
              <w:pStyle w:val="NoSpacing"/>
              <w:jc w:val="center"/>
              <w:rPr>
                <w:sz w:val="17"/>
                <w:szCs w:val="17"/>
              </w:rPr>
            </w:pPr>
            <w:r w:rsidRPr="00BB5F2A">
              <w:rPr>
                <w:sz w:val="17"/>
                <w:szCs w:val="17"/>
              </w:rPr>
              <w:t>N</w:t>
            </w:r>
          </w:p>
        </w:tc>
        <w:tc>
          <w:tcPr>
            <w:tcW w:w="1728" w:type="dxa"/>
          </w:tcPr>
          <w:p w:rsidR="004B4D30" w:rsidRPr="00BB5F2A" w:rsidRDefault="002147FF" w:rsidP="006757CE">
            <w:pPr>
              <w:pStyle w:val="NoSpacing"/>
              <w:jc w:val="center"/>
              <w:rPr>
                <w:sz w:val="17"/>
                <w:szCs w:val="17"/>
              </w:rPr>
            </w:pPr>
            <w:r w:rsidRPr="00BB5F2A">
              <w:rPr>
                <w:sz w:val="17"/>
                <w:szCs w:val="17"/>
              </w:rPr>
              <w:t>Escorrentía por el uso de fertilizantes; Lixiviación de fosas sépticas: erosión de los depósitos naturales</w:t>
            </w:r>
          </w:p>
        </w:tc>
      </w:tr>
    </w:tbl>
    <w:p w:rsidR="004B4D30" w:rsidRDefault="004B4D30" w:rsidP="004B4D30">
      <w:pPr>
        <w:pStyle w:val="NoSpacing"/>
        <w:rPr>
          <w:sz w:val="16"/>
          <w:szCs w:val="16"/>
        </w:rPr>
      </w:pPr>
    </w:p>
    <w:p w:rsidR="0077062E" w:rsidRPr="0077062E" w:rsidRDefault="0077062E" w:rsidP="004B4D30">
      <w:pPr>
        <w:pStyle w:val="NoSpacing"/>
        <w:rPr>
          <w:sz w:val="16"/>
          <w:szCs w:val="16"/>
          <w:highlight w:val="yellow"/>
        </w:rPr>
      </w:pPr>
      <w:r w:rsidRPr="0077062E">
        <w:rPr>
          <w:sz w:val="16"/>
          <w:szCs w:val="16"/>
          <w:highlight w:val="yellow"/>
        </w:rPr>
        <w:t>* El valor de la columna Nivel más alto o Promedio detectado es el promedio más alto de todos los resultados de muestras de HAA5 recopilados en una ubicación durante un año</w:t>
      </w:r>
    </w:p>
    <w:p w:rsidR="00752F33" w:rsidRPr="004246F9" w:rsidRDefault="00A0685D" w:rsidP="00CF1770">
      <w:pPr>
        <w:pStyle w:val="NoSpacing"/>
        <w:rPr>
          <w:sz w:val="16"/>
          <w:szCs w:val="16"/>
          <w:highlight w:val="yellow"/>
        </w:rPr>
      </w:pPr>
      <w:r w:rsidRPr="0077062E">
        <w:rPr>
          <w:sz w:val="16"/>
          <w:szCs w:val="16"/>
          <w:highlight w:val="yellow"/>
        </w:rPr>
        <w:t>* El valor de la columna Nivel más alto o Promedio detectado es el promedio más alto de resultados de muestras TTHM recopilados en una ubicación durante un año*</w:t>
      </w:r>
    </w:p>
    <w:p w:rsidR="006D3C6A" w:rsidRPr="00CF1770" w:rsidRDefault="002757D0" w:rsidP="00CF1770">
      <w:pPr>
        <w:pStyle w:val="NoSpacing"/>
        <w:rPr>
          <w:rFonts w:eastAsia="Times New Roman" w:cs="Times New Roman"/>
          <w:b/>
          <w:sz w:val="24"/>
          <w:szCs w:val="24"/>
        </w:rPr>
      </w:pPr>
      <w:r w:rsidRPr="00CF1770">
        <w:rPr>
          <w:b/>
          <w:sz w:val="24"/>
          <w:szCs w:val="24"/>
        </w:rPr>
        <w:t>Desinfectante residual</w:t>
      </w:r>
    </w:p>
    <w:tbl>
      <w:tblPr>
        <w:tblW w:w="10350" w:type="dxa"/>
        <w:tblInd w:w="-275" w:type="dxa"/>
        <w:tblLayout w:type="fixed"/>
        <w:tblCellMar>
          <w:left w:w="0" w:type="dxa"/>
          <w:right w:w="0" w:type="dxa"/>
        </w:tblCellMar>
        <w:tblLook w:val="0000" w:firstRow="0" w:lastRow="0" w:firstColumn="0" w:lastColumn="0" w:noHBand="0" w:noVBand="0"/>
      </w:tblPr>
      <w:tblGrid>
        <w:gridCol w:w="1170"/>
        <w:gridCol w:w="810"/>
        <w:gridCol w:w="900"/>
        <w:gridCol w:w="1440"/>
        <w:gridCol w:w="900"/>
        <w:gridCol w:w="900"/>
        <w:gridCol w:w="900"/>
        <w:gridCol w:w="900"/>
        <w:gridCol w:w="2430"/>
      </w:tblGrid>
      <w:tr w:rsidR="006D3C6A" w:rsidTr="00BB5F2A">
        <w:trPr>
          <w:trHeight w:hRule="exact" w:val="481"/>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Desinfectante</w:t>
            </w:r>
          </w:p>
          <w:p w:rsidR="006D3C6A" w:rsidRPr="00CF1770" w:rsidRDefault="006D3C6A" w:rsidP="00CF1770">
            <w:pPr>
              <w:pStyle w:val="NoSpacing"/>
              <w:rPr>
                <w:rFonts w:cstheme="minorHAnsi"/>
                <w:b/>
                <w:sz w:val="18"/>
                <w:szCs w:val="18"/>
              </w:rPr>
            </w:pPr>
            <w:r w:rsidRPr="00CF1770">
              <w:rPr>
                <w:rFonts w:cstheme="minorHAnsi"/>
                <w:b/>
                <w:sz w:val="18"/>
                <w:szCs w:val="18"/>
              </w:rPr>
              <w:t>Residual</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Año</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 xml:space="preserve">Promedio </w:t>
            </w:r>
          </w:p>
          <w:p w:rsidR="006D3C6A" w:rsidRPr="00CF1770" w:rsidRDefault="006D3C6A" w:rsidP="00CF1770">
            <w:pPr>
              <w:pStyle w:val="NoSpacing"/>
              <w:rPr>
                <w:rFonts w:cstheme="minorHAnsi"/>
                <w:b/>
                <w:sz w:val="18"/>
                <w:szCs w:val="18"/>
              </w:rPr>
            </w:pPr>
            <w:r w:rsidRPr="00CF1770">
              <w:rPr>
                <w:rFonts w:cstheme="minorHAnsi"/>
                <w:b/>
                <w:sz w:val="18"/>
                <w:szCs w:val="18"/>
              </w:rPr>
              <w:t>Nivel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 xml:space="preserve">Rango de niveles </w:t>
            </w:r>
          </w:p>
          <w:p w:rsidR="006D3C6A" w:rsidRPr="00CF1770" w:rsidRDefault="006D3C6A" w:rsidP="00CF1770">
            <w:pPr>
              <w:pStyle w:val="NoSpacing"/>
              <w:rPr>
                <w:rFonts w:cstheme="minorHAnsi"/>
                <w:b/>
                <w:sz w:val="18"/>
                <w:szCs w:val="18"/>
              </w:rPr>
            </w:pPr>
            <w:r w:rsidRPr="00CF1770">
              <w:rPr>
                <w:rFonts w:cstheme="minorHAnsi"/>
                <w:b/>
                <w:sz w:val="18"/>
                <w:szCs w:val="18"/>
              </w:rPr>
              <w:t>Detectado</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MRDL (en inglés)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MRDLG</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 xml:space="preserve">Unidad de </w:t>
            </w:r>
          </w:p>
          <w:p w:rsidR="006D3C6A" w:rsidRPr="00CF1770" w:rsidRDefault="006D3C6A" w:rsidP="00CF1770">
            <w:pPr>
              <w:pStyle w:val="NoSpacing"/>
              <w:rPr>
                <w:rFonts w:cstheme="minorHAnsi"/>
                <w:b/>
                <w:sz w:val="18"/>
                <w:szCs w:val="18"/>
              </w:rPr>
            </w:pPr>
            <w:r w:rsidRPr="00CF1770">
              <w:rPr>
                <w:rFonts w:cstheme="minorHAnsi"/>
                <w:b/>
                <w:sz w:val="18"/>
                <w:szCs w:val="18"/>
              </w:rPr>
              <w:t>Medir</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Violación</w:t>
            </w:r>
          </w:p>
          <w:p w:rsidR="006D3C6A" w:rsidRPr="00CF1770" w:rsidRDefault="006D3C6A" w:rsidP="00CF1770">
            <w:pPr>
              <w:pStyle w:val="NoSpacing"/>
              <w:rPr>
                <w:rFonts w:cstheme="minorHAnsi"/>
                <w:b/>
                <w:sz w:val="18"/>
                <w:szCs w:val="18"/>
              </w:rPr>
            </w:pPr>
            <w:r w:rsidRPr="00CF1770">
              <w:rPr>
                <w:rFonts w:cstheme="minorHAnsi"/>
                <w:b/>
                <w:sz w:val="18"/>
                <w:szCs w:val="18"/>
              </w:rPr>
              <w:t xml:space="preserve"> (S/N)</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Fuente en el agua potable</w:t>
            </w:r>
          </w:p>
        </w:tc>
      </w:tr>
      <w:tr w:rsidR="006D3C6A" w:rsidTr="00BB5F2A">
        <w:trPr>
          <w:trHeight w:hRule="exact" w:val="22"/>
        </w:trPr>
        <w:tc>
          <w:tcPr>
            <w:tcW w:w="117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81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144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243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r>
      <w:tr w:rsidR="006D3C6A" w:rsidTr="00BB5F2A">
        <w:trPr>
          <w:trHeight w:hRule="exact" w:val="61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CF1770" w:rsidRDefault="006D3C6A" w:rsidP="00BB56CA">
            <w:pPr>
              <w:rPr>
                <w:rFonts w:asciiTheme="minorHAnsi" w:hAnsiTheme="minorHAnsi" w:cstheme="minorHAnsi"/>
                <w:b/>
                <w:sz w:val="18"/>
                <w:szCs w:val="18"/>
              </w:rPr>
            </w:pPr>
            <w:r w:rsidRPr="00CF1770">
              <w:rPr>
                <w:rFonts w:asciiTheme="minorHAnsi" w:hAnsiTheme="minorHAnsi" w:cstheme="minorHAnsi"/>
                <w:b/>
                <w:sz w:val="18"/>
                <w:szCs w:val="18"/>
              </w:rPr>
              <w:t>Cloro</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D038D0" w:rsidP="00D038D0">
            <w:pPr>
              <w:rPr>
                <w:rFonts w:asciiTheme="minorHAnsi" w:hAnsiTheme="minorHAnsi" w:cstheme="minorHAnsi"/>
                <w:sz w:val="18"/>
                <w:szCs w:val="18"/>
              </w:rPr>
            </w:pPr>
            <w:r>
              <w:rPr>
                <w:rFonts w:asciiTheme="minorHAnsi" w:eastAsia="SansSerif" w:hAnsiTheme="minorHAnsi" w:cstheme="minorHAnsi"/>
                <w:color w:val="000000"/>
                <w:sz w:val="18"/>
                <w:szCs w:val="18"/>
              </w:rPr>
              <w:t>2023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363786" w:rsidP="00D038D0">
            <w:pPr>
              <w:rPr>
                <w:rFonts w:asciiTheme="minorHAnsi" w:hAnsiTheme="minorHAnsi" w:cstheme="minorHAnsi"/>
                <w:sz w:val="18"/>
                <w:szCs w:val="18"/>
              </w:rPr>
            </w:pPr>
            <w:r>
              <w:rPr>
                <w:rFonts w:asciiTheme="minorHAnsi" w:hAnsiTheme="minorHAnsi" w:cstheme="minorHAnsi"/>
                <w:sz w:val="18"/>
                <w:szCs w:val="18"/>
              </w:rPr>
              <w:t>3.27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1F3209" w:rsidP="00BB56CA">
            <w:pPr>
              <w:jc w:val="center"/>
              <w:rPr>
                <w:rFonts w:asciiTheme="minorHAnsi" w:hAnsiTheme="minorHAnsi" w:cstheme="minorHAnsi"/>
                <w:sz w:val="18"/>
                <w:szCs w:val="18"/>
              </w:rPr>
            </w:pPr>
            <w:r w:rsidRPr="00BB5F2A">
              <w:rPr>
                <w:rFonts w:asciiTheme="minorHAnsi" w:hAnsiTheme="minorHAnsi" w:cstheme="minorHAnsi"/>
                <w:sz w:val="18"/>
                <w:szCs w:val="18"/>
              </w:rPr>
              <w:t>1.30 - 4.30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eastAsia="SansSerif" w:hAnsiTheme="minorHAnsi" w:cstheme="minorHAnsi"/>
                <w:color w:val="000000"/>
                <w:sz w:val="18"/>
                <w:szCs w:val="18"/>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eastAsia="SansSerif" w:hAnsiTheme="minorHAnsi" w:cstheme="minorHAnsi"/>
                <w:color w:val="000000"/>
                <w:sz w:val="18"/>
                <w:szCs w:val="18"/>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hAnsiTheme="minorHAnsi" w:cstheme="minorHAnsi"/>
                <w:sz w:val="18"/>
                <w:szCs w:val="18"/>
              </w:rPr>
              <w:t>ppm</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eastAsia="SansSerif" w:hAnsiTheme="minorHAnsi" w:cstheme="minorHAnsi"/>
                <w:color w:val="000000"/>
                <w:sz w:val="18"/>
                <w:szCs w:val="18"/>
              </w:rPr>
              <w:t xml:space="preserve">N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BB5F2A" w:rsidRDefault="006D3C6A" w:rsidP="00BB56CA">
            <w:pPr>
              <w:rPr>
                <w:rFonts w:asciiTheme="minorHAnsi" w:eastAsia="SansSerif" w:hAnsiTheme="minorHAnsi" w:cstheme="minorHAnsi"/>
                <w:color w:val="000000"/>
                <w:sz w:val="18"/>
                <w:szCs w:val="18"/>
              </w:rPr>
            </w:pPr>
            <w:r w:rsidRPr="00BB5F2A">
              <w:rPr>
                <w:rFonts w:asciiTheme="minorHAnsi" w:eastAsia="SansSerif" w:hAnsiTheme="minorHAnsi" w:cstheme="minorHAnsi"/>
                <w:color w:val="000000"/>
                <w:sz w:val="18"/>
                <w:szCs w:val="18"/>
              </w:rPr>
              <w:t xml:space="preserve">Aditivo de agua utilizado para controlar </w:t>
            </w:r>
          </w:p>
          <w:p w:rsidR="006D3C6A" w:rsidRPr="00BB5F2A" w:rsidRDefault="006D3C6A" w:rsidP="00BB56CA">
            <w:pPr>
              <w:rPr>
                <w:rFonts w:asciiTheme="minorHAnsi" w:hAnsiTheme="minorHAnsi" w:cstheme="minorHAnsi"/>
                <w:sz w:val="18"/>
                <w:szCs w:val="18"/>
              </w:rPr>
            </w:pPr>
            <w:r w:rsidRPr="00BB5F2A">
              <w:rPr>
                <w:rFonts w:asciiTheme="minorHAnsi" w:eastAsia="SansSerif" w:hAnsiTheme="minorHAnsi" w:cstheme="minorHAnsi"/>
                <w:color w:val="000000"/>
                <w:sz w:val="18"/>
                <w:szCs w:val="18"/>
              </w:rPr>
              <w:t>Microbios.</w:t>
            </w:r>
          </w:p>
        </w:tc>
      </w:tr>
    </w:tbl>
    <w:p w:rsidR="00DE6BD4" w:rsidRDefault="00DE6BD4" w:rsidP="00BB5F2A">
      <w:pPr>
        <w:spacing w:after="120"/>
        <w:rPr>
          <w:sz w:val="16"/>
          <w:szCs w:val="16"/>
        </w:rPr>
      </w:pPr>
    </w:p>
    <w:p w:rsidR="003B61C9" w:rsidRDefault="003B61C9" w:rsidP="00BB5F2A">
      <w:pPr>
        <w:spacing w:after="120"/>
        <w:rPr>
          <w:b/>
          <w:i/>
          <w:sz w:val="32"/>
          <w:szCs w:val="32"/>
        </w:rPr>
      </w:pPr>
    </w:p>
    <w:p w:rsidR="003B61C9" w:rsidRDefault="003B61C9" w:rsidP="00BB5F2A">
      <w:pPr>
        <w:spacing w:after="120"/>
        <w:rPr>
          <w:b/>
          <w:i/>
          <w:sz w:val="32"/>
          <w:szCs w:val="32"/>
        </w:rPr>
      </w:pPr>
    </w:p>
    <w:p w:rsidR="003B61C9" w:rsidRDefault="003B61C9" w:rsidP="00BB5F2A">
      <w:pPr>
        <w:spacing w:after="120"/>
        <w:rPr>
          <w:b/>
          <w:i/>
          <w:sz w:val="32"/>
          <w:szCs w:val="32"/>
        </w:rPr>
      </w:pPr>
    </w:p>
    <w:p w:rsidR="003B61C9" w:rsidRDefault="003B61C9" w:rsidP="00BB5F2A">
      <w:pPr>
        <w:spacing w:after="120"/>
        <w:rPr>
          <w:b/>
          <w:i/>
          <w:sz w:val="32"/>
          <w:szCs w:val="32"/>
        </w:rPr>
      </w:pPr>
    </w:p>
    <w:p w:rsidR="00DE6BD4" w:rsidRPr="006C64B4" w:rsidRDefault="006C64B4" w:rsidP="00BB5F2A">
      <w:pPr>
        <w:spacing w:after="120"/>
        <w:rPr>
          <w:b/>
          <w:i/>
          <w:sz w:val="32"/>
          <w:szCs w:val="32"/>
        </w:rPr>
      </w:pPr>
      <w:r w:rsidRPr="006C64B4">
        <w:rPr>
          <w:b/>
          <w:i/>
          <w:sz w:val="32"/>
          <w:szCs w:val="32"/>
        </w:rPr>
        <w:t xml:space="preserve">Resultados UCMR 5 </w:t>
      </w:r>
    </w:p>
    <w:tbl>
      <w:tblPr>
        <w:tblW w:w="0" w:type="auto"/>
        <w:tblInd w:w="-185" w:type="dxa"/>
        <w:tblLayout w:type="fixed"/>
        <w:tblCellMar>
          <w:left w:w="0" w:type="dxa"/>
          <w:right w:w="0" w:type="dxa"/>
        </w:tblCellMar>
        <w:tblLook w:val="0000" w:firstRow="0" w:lastRow="0" w:firstColumn="0" w:lastColumn="0" w:noHBand="0" w:noVBand="0"/>
      </w:tblPr>
      <w:tblGrid>
        <w:gridCol w:w="2070"/>
        <w:gridCol w:w="1260"/>
        <w:gridCol w:w="20"/>
        <w:gridCol w:w="827"/>
        <w:gridCol w:w="323"/>
        <w:gridCol w:w="402"/>
        <w:gridCol w:w="678"/>
        <w:gridCol w:w="58"/>
        <w:gridCol w:w="657"/>
        <w:gridCol w:w="827"/>
        <w:gridCol w:w="2238"/>
      </w:tblGrid>
      <w:tr w:rsidR="00682FB4" w:rsidTr="00553FA8">
        <w:trPr>
          <w:trHeight w:hRule="exact" w:val="124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rsidRPr="00C723EA">
              <w:t>Contaminante no regulado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Fecha de recogida</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Nivel medio (μg/L)</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Rango de niveles detectados (μg/L)</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Concentración de referencia basada en la salud (μg/L) (recomendada, no requerida en el CCR)</w:t>
            </w:r>
          </w:p>
        </w:tc>
      </w:tr>
      <w:tr w:rsidR="00682FB4" w:rsidTr="00553FA8">
        <w:trPr>
          <w:gridAfter w:val="1"/>
          <w:wAfter w:w="2238" w:type="dxa"/>
          <w:trHeight w:hRule="exact" w:val="18"/>
        </w:trPr>
        <w:tc>
          <w:tcPr>
            <w:tcW w:w="2070" w:type="dxa"/>
            <w:tcMar>
              <w:top w:w="0" w:type="dxa"/>
              <w:left w:w="0" w:type="dxa"/>
              <w:bottom w:w="0" w:type="dxa"/>
              <w:right w:w="0" w:type="dxa"/>
            </w:tcMar>
          </w:tcPr>
          <w:p w:rsidR="00682FB4" w:rsidRDefault="00682FB4" w:rsidP="00E509B6">
            <w:pPr>
              <w:rPr>
                <w:sz w:val="2"/>
              </w:rPr>
            </w:pPr>
          </w:p>
        </w:tc>
        <w:tc>
          <w:tcPr>
            <w:tcW w:w="1260" w:type="dxa"/>
            <w:tcMar>
              <w:top w:w="0" w:type="dxa"/>
              <w:left w:w="0" w:type="dxa"/>
              <w:bottom w:w="0" w:type="dxa"/>
              <w:right w:w="0" w:type="dxa"/>
            </w:tcMar>
          </w:tcPr>
          <w:p w:rsidR="00682FB4" w:rsidRDefault="00682FB4" w:rsidP="00E509B6">
            <w:pPr>
              <w:rPr>
                <w:sz w:val="2"/>
              </w:rPr>
            </w:pPr>
          </w:p>
        </w:tc>
        <w:tc>
          <w:tcPr>
            <w:tcW w:w="20" w:type="dxa"/>
            <w:tcMar>
              <w:top w:w="0" w:type="dxa"/>
              <w:left w:w="0" w:type="dxa"/>
              <w:bottom w:w="0" w:type="dxa"/>
              <w:right w:w="0" w:type="dxa"/>
            </w:tcMar>
          </w:tcPr>
          <w:p w:rsidR="00682FB4" w:rsidRDefault="00682FB4" w:rsidP="00E509B6">
            <w:pPr>
              <w:rPr>
                <w:sz w:val="2"/>
              </w:rPr>
            </w:pPr>
          </w:p>
        </w:tc>
        <w:tc>
          <w:tcPr>
            <w:tcW w:w="827" w:type="dxa"/>
            <w:tcMar>
              <w:top w:w="0" w:type="dxa"/>
              <w:left w:w="0" w:type="dxa"/>
              <w:bottom w:w="0" w:type="dxa"/>
              <w:right w:w="0" w:type="dxa"/>
            </w:tcMar>
          </w:tcPr>
          <w:p w:rsidR="00682FB4" w:rsidRDefault="00682FB4" w:rsidP="00E509B6">
            <w:pPr>
              <w:rPr>
                <w:sz w:val="2"/>
              </w:rPr>
            </w:pPr>
          </w:p>
        </w:tc>
        <w:tc>
          <w:tcPr>
            <w:tcW w:w="725" w:type="dxa"/>
            <w:gridSpan w:val="2"/>
            <w:tcMar>
              <w:top w:w="0" w:type="dxa"/>
              <w:left w:w="0" w:type="dxa"/>
              <w:bottom w:w="0" w:type="dxa"/>
              <w:right w:w="0" w:type="dxa"/>
            </w:tcMar>
          </w:tcPr>
          <w:p w:rsidR="00682FB4" w:rsidRDefault="00682FB4" w:rsidP="00E509B6">
            <w:pPr>
              <w:rPr>
                <w:sz w:val="2"/>
              </w:rPr>
            </w:pPr>
          </w:p>
        </w:tc>
        <w:tc>
          <w:tcPr>
            <w:tcW w:w="736" w:type="dxa"/>
            <w:gridSpan w:val="2"/>
            <w:tcMar>
              <w:top w:w="0" w:type="dxa"/>
              <w:left w:w="0" w:type="dxa"/>
              <w:bottom w:w="0" w:type="dxa"/>
              <w:right w:w="0" w:type="dxa"/>
            </w:tcMar>
          </w:tcPr>
          <w:p w:rsidR="00682FB4" w:rsidRDefault="00682FB4" w:rsidP="00E509B6">
            <w:pPr>
              <w:rPr>
                <w:sz w:val="2"/>
              </w:rPr>
            </w:pPr>
          </w:p>
        </w:tc>
        <w:tc>
          <w:tcPr>
            <w:tcW w:w="657" w:type="dxa"/>
            <w:tcMar>
              <w:top w:w="0" w:type="dxa"/>
              <w:left w:w="0" w:type="dxa"/>
              <w:bottom w:w="0" w:type="dxa"/>
              <w:right w:w="0" w:type="dxa"/>
            </w:tcMar>
          </w:tcPr>
          <w:p w:rsidR="00682FB4" w:rsidRDefault="00682FB4" w:rsidP="00E509B6">
            <w:pPr>
              <w:rPr>
                <w:sz w:val="2"/>
              </w:rPr>
            </w:pPr>
          </w:p>
        </w:tc>
        <w:tc>
          <w:tcPr>
            <w:tcW w:w="827" w:type="dxa"/>
            <w:tcMar>
              <w:top w:w="0" w:type="dxa"/>
              <w:left w:w="0" w:type="dxa"/>
              <w:bottom w:w="0" w:type="dxa"/>
              <w:right w:w="0" w:type="dxa"/>
            </w:tcMar>
          </w:tcPr>
          <w:p w:rsidR="00682FB4" w:rsidRDefault="00682FB4" w:rsidP="00E509B6">
            <w:pPr>
              <w:rPr>
                <w:sz w:val="2"/>
              </w:rPr>
            </w:pP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r w:rsidRPr="00682FB4">
              <w:t>PFBA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Pr>
              <w:jc w:val="center"/>
            </w:pPr>
            <w:r w:rsidRPr="00682FB4">
              <w:rPr>
                <w:rFonts w:eastAsia="SansSerif"/>
                <w:color w:val="000000"/>
              </w:rPr>
              <w:t>2024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r w:rsidRPr="00682FB4">
              <w:t>0.0108</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0.0042-0.0108</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r>
              <w:t xml:space="preserve">          6</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roofErr w:type="spellStart"/>
            <w:r>
              <w:t>PFHxA</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Pr>
              <w:jc w:val="center"/>
              <w:rPr>
                <w:rFonts w:eastAsia="SansSerif"/>
                <w:color w:val="000000"/>
              </w:rPr>
            </w:pPr>
            <w:r>
              <w:rPr>
                <w:rFonts w:eastAsia="SansSerif"/>
                <w:color w:val="000000"/>
              </w:rPr>
              <w:t>2024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D439C3" w:rsidP="00E509B6">
            <w:r>
              <w:t>0.0077</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0.0034-</w:t>
            </w:r>
          </w:p>
          <w:p w:rsidR="00682FB4" w:rsidRDefault="00682FB4" w:rsidP="00262017">
            <w:r>
              <w:t>0.0077</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t xml:space="preserve">           3</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roofErr w:type="spellStart"/>
            <w:r>
              <w:t>PFHxS</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Pr>
              <w:jc w:val="center"/>
              <w:rPr>
                <w:rFonts w:eastAsia="SansSerif"/>
                <w:color w:val="000000"/>
              </w:rPr>
            </w:pPr>
            <w:r>
              <w:rPr>
                <w:rFonts w:eastAsia="SansSerif"/>
                <w:color w:val="000000"/>
              </w:rPr>
              <w:t>2024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D439C3" w:rsidP="00E509B6">
            <w:r>
              <w:t>&lt;LMR</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0.0035-</w:t>
            </w:r>
          </w:p>
          <w:p w:rsidR="00682FB4" w:rsidRDefault="00682FB4" w:rsidP="00262017">
            <w:r>
              <w:t>0.0041</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t xml:space="preserve">         N/A</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t>PFOS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pPr>
              <w:jc w:val="center"/>
              <w:rPr>
                <w:rFonts w:eastAsia="SansSerif"/>
                <w:color w:val="000000"/>
              </w:rPr>
            </w:pPr>
            <w:r>
              <w:rPr>
                <w:rFonts w:eastAsia="SansSerif"/>
                <w:color w:val="000000"/>
              </w:rPr>
              <w:t>2024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D439C3" w:rsidP="00E509B6">
            <w:r w:rsidRPr="00D439C3">
              <w:t>&lt;LMR</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0.0089-</w:t>
            </w:r>
          </w:p>
          <w:p w:rsidR="00682FB4" w:rsidRDefault="00682FB4" w:rsidP="00262017">
            <w:r>
              <w:t>0.0104</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r>
              <w:t xml:space="preserve">         N/A</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proofErr w:type="spellStart"/>
            <w:r>
              <w:lastRenderedPageBreak/>
              <w:t>PFPeA</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pPr>
              <w:jc w:val="center"/>
              <w:rPr>
                <w:rFonts w:eastAsia="SansSerif"/>
                <w:color w:val="000000"/>
              </w:rPr>
            </w:pPr>
            <w:r>
              <w:rPr>
                <w:rFonts w:eastAsia="SansSerif"/>
                <w:color w:val="000000"/>
              </w:rPr>
              <w:t>2024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D439C3" w:rsidP="00E509B6">
            <w:r>
              <w:t>0.0085</w:t>
            </w:r>
          </w:p>
          <w:p w:rsidR="00553FA8" w:rsidRDefault="00553FA8" w:rsidP="00E509B6"/>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262017">
            <w:r>
              <w:t>0.003-</w:t>
            </w:r>
          </w:p>
          <w:p w:rsidR="00553FA8" w:rsidRDefault="00553FA8" w:rsidP="00262017">
            <w:r>
              <w:t>0.0085</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r>
              <w:t xml:space="preserve">         N/A</w:t>
            </w:r>
          </w:p>
        </w:tc>
      </w:tr>
      <w:tr w:rsidR="00553FA8"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r>
              <w:t>PFBS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pPr>
              <w:jc w:val="center"/>
              <w:rPr>
                <w:rFonts w:eastAsia="SansSerif"/>
                <w:color w:val="000000"/>
              </w:rPr>
            </w:pPr>
            <w:r>
              <w:rPr>
                <w:rFonts w:eastAsia="SansSerif"/>
                <w:color w:val="000000"/>
              </w:rPr>
              <w:t>2024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r>
              <w:t>0.058</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262017">
            <w:r>
              <w:t xml:space="preserve">  0.058</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r>
              <w:t>N/A</w:t>
            </w:r>
          </w:p>
        </w:tc>
      </w:tr>
    </w:tbl>
    <w:p w:rsidR="00DE6BD4" w:rsidRPr="00553FA8" w:rsidRDefault="00262017" w:rsidP="00553FA8">
      <w:pPr>
        <w:spacing w:line="40" w:lineRule="exact"/>
        <w:rPr>
          <w:sz w:val="4"/>
        </w:rPr>
      </w:pPr>
      <w:r>
        <w:t xml:space="preserve"> </w:t>
      </w:r>
    </w:p>
    <w:p w:rsidR="00DE6BD4" w:rsidRDefault="0016750A" w:rsidP="00BB5F2A">
      <w:pPr>
        <w:spacing w:after="120"/>
        <w:rPr>
          <w:sz w:val="16"/>
          <w:szCs w:val="16"/>
        </w:rPr>
      </w:pPr>
      <w:r w:rsidRPr="0016750A">
        <w:rPr>
          <w:sz w:val="16"/>
          <w:szCs w:val="16"/>
        </w:rPr>
        <w:t>* Resultados UCMR5 &gt;MCL</w:t>
      </w:r>
    </w:p>
    <w:p w:rsidR="00DE6BD4" w:rsidRDefault="00DE6BD4" w:rsidP="00BB5F2A">
      <w:pPr>
        <w:spacing w:after="120"/>
        <w:rPr>
          <w:sz w:val="16"/>
          <w:szCs w:val="16"/>
        </w:rPr>
      </w:pPr>
    </w:p>
    <w:p w:rsidR="00807D95" w:rsidRPr="00BB5F2A" w:rsidRDefault="0042265E" w:rsidP="00BB5F2A">
      <w:pPr>
        <w:spacing w:after="120"/>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margin">
                  <wp:posOffset>-438149</wp:posOffset>
                </wp:positionH>
                <wp:positionV relativeFrom="paragraph">
                  <wp:posOffset>26035</wp:posOffset>
                </wp:positionV>
                <wp:extent cx="67056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571500"/>
                        </a:xfrm>
                        <a:prstGeom prst="rect">
                          <a:avLst/>
                        </a:prstGeom>
                        <a:solidFill>
                          <a:schemeClr val="lt1"/>
                        </a:solidFill>
                        <a:ln w="6350">
                          <a:noFill/>
                        </a:ln>
                      </wps:spPr>
                      <wps:txbx>
                        <w:txbxContent>
                          <w:p w:rsidR="00DE2296" w:rsidRDefault="00DE2296" w:rsidP="00DE2296">
                            <w:pPr>
                              <w:spacing w:after="120"/>
                              <w:ind w:left="200"/>
                              <w:jc w:val="both"/>
                            </w:pPr>
                            <w:r w:rsidRPr="00DE2296">
                              <w:rPr>
                                <w:i/>
                                <w:sz w:val="20"/>
                                <w:szCs w:val="20"/>
                              </w:rPr>
                              <w:t>Para obtener una lista completa de los parámetros y componentes probados, consulte la información complementaria, "Informe de confianza del consumidor del Distrito Municipal de Agua del Norte de Texas Tawakoni WTP para el año 2024".  La Ciudad publicará una copia para que la vean en el Ayuntamiento y en la Biblioteca.  Una copia está disponible en la ventanilla de Facturación de Servicios Públicos en el Ayuntamiento</w:t>
                            </w:r>
                            <w:r w:rsidRPr="007D17B6">
                              <w:rPr>
                                <w:i/>
                              </w:rPr>
                              <w:t>.</w:t>
                            </w:r>
                          </w:p>
                          <w:p w:rsidR="00DE2296" w:rsidRDefault="00DE2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v:stroke joinstyle="miter"/>
                <v:path gradientshapeok="t" o:connecttype="rect"/>
              </v:shapetype>
              <v:shape id="Text Box 2" style="position:absolute;margin-left:-34.5pt;margin-top:2.05pt;width:52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">
                <v:textbox>
                  <w:txbxContent>
                    <w:p w:rsidR="00DE2296" w:rsidP="00DE2296" w:rsidRDefault="00DE2296">
                      <w:pPr>
                        <w:spacing w:after="120"/>
                        <w:ind w:left="200"/>
                        <w:jc w:val="both"/>
                      </w:pPr>
                      <w:r w:rsidRPr="00DE2296">
                        <w:rPr>
                          <w:i/>
                          <w:sz w:val="20"/>
                          <w:szCs w:val="20"/>
                          <w:lang w:val="Spanish"/>
                        </w:rPr>
                        <w:t>Para obtener una lista completa de los parámetros y componentes probados, consulte la información complementaria, "Informe de confianza del consumidor del Distrito Municipal de Agua del Norte de Texas Tawakoni WTP para el año 2024".  La Ciudad publicará una copia para que la vean en el Ayuntamiento y en la Biblioteca.  Una copia está disponible en la ventanilla de Facturación de Servicios Públicos en el Ayuntamiento</w:t>
                      </w:r>
                      <w:r w:rsidRPr="007D17B6">
                        <w:rPr>
                          <w:i/>
                          <w:lang w:val="Spanish"/>
                        </w:rPr>
                        <w:t>.</w:t>
                      </w:r>
                    </w:p>
                    <w:p w:rsidR="00DE2296" w:rsidRDefault="00DE2296"/>
                  </w:txbxContent>
                </v:textbox>
                <w10:wrap anchorx="margin"/>
              </v:shape>
            </w:pict>
          </mc:Fallback>
        </mc:AlternateContent>
      </w:r>
    </w:p>
    <w:sectPr w:rsidR="00807D95" w:rsidRPr="00BB5F2A" w:rsidSect="00B77238">
      <w:type w:val="continuous"/>
      <w:pgSz w:w="12240" w:h="15840" w:code="1"/>
      <w:pgMar w:top="864" w:right="1152" w:bottom="432"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6DA" w:rsidRDefault="005C26DA" w:rsidP="00BC340C">
      <w:r>
        <w:separator/>
      </w:r>
    </w:p>
  </w:endnote>
  <w:endnote w:type="continuationSeparator" w:id="0">
    <w:p w:rsidR="005C26DA" w:rsidRDefault="005C26DA" w:rsidP="00BC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ansSerif">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726074925"/>
      <w:docPartObj>
        <w:docPartGallery w:val="Page Numbers (Bottom of Page)"/>
        <w:docPartUnique/>
      </w:docPartObj>
    </w:sdtPr>
    <w:sdtEndPr>
      <w:rPr>
        <w:noProof/>
      </w:rPr>
    </w:sdtEndPr>
    <w:sdtContent>
      <w:p w:rsidR="00BB56CA" w:rsidRPr="00B77238" w:rsidRDefault="00B77238" w:rsidP="00B77238">
        <w:pPr>
          <w:pStyle w:val="Footer"/>
          <w:rPr>
            <w:sz w:val="18"/>
            <w:szCs w:val="18"/>
          </w:rPr>
        </w:pPr>
        <w:r w:rsidRPr="00B77238">
          <w:rPr>
            <w:sz w:val="18"/>
            <w:szCs w:val="18"/>
          </w:rPr>
          <w:t xml:space="preserve">Página | </w:t>
        </w:r>
        <w:r w:rsidRPr="00B77238">
          <w:rPr>
            <w:sz w:val="18"/>
            <w:szCs w:val="18"/>
          </w:rPr>
          <w:fldChar w:fldCharType="begin"/>
        </w:r>
        <w:r w:rsidRPr="00B77238">
          <w:rPr>
            <w:sz w:val="18"/>
            <w:szCs w:val="18"/>
          </w:rPr>
          <w:instrText xml:space="preserve"> PAGE   \* MERGEFORMAT </w:instrText>
        </w:r>
        <w:r w:rsidRPr="00B77238">
          <w:rPr>
            <w:sz w:val="18"/>
            <w:szCs w:val="18"/>
          </w:rPr>
          <w:fldChar w:fldCharType="separate"/>
        </w:r>
        <w:r w:rsidR="00134F8D">
          <w:rPr>
            <w:noProof/>
            <w:sz w:val="18"/>
            <w:szCs w:val="18"/>
          </w:rPr>
          <w:t>4</w:t>
        </w:r>
        <w:r w:rsidRPr="00B7723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6DA" w:rsidRDefault="005C26DA" w:rsidP="00BC340C">
      <w:r>
        <w:separator/>
      </w:r>
    </w:p>
  </w:footnote>
  <w:footnote w:type="continuationSeparator" w:id="0">
    <w:p w:rsidR="005C26DA" w:rsidRDefault="005C26DA" w:rsidP="00BC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CA" w:rsidRDefault="00BB56CA" w:rsidP="007F5068">
    <w:pPr>
      <w:pStyle w:val="Title"/>
      <w:tabs>
        <w:tab w:val="left" w:pos="7200"/>
        <w:tab w:val="left" w:pos="8490"/>
      </w:tabs>
      <w:ind w:left="7200" w:hanging="7200"/>
    </w:pPr>
    <w:r w:rsidRPr="00CE4FA3">
      <w:rPr>
        <w:noProof/>
      </w:rPr>
      <w:drawing>
        <wp:inline distT="0" distB="0" distL="0" distR="0">
          <wp:extent cx="536575" cy="495300"/>
          <wp:effectExtent l="19050" t="0" r="0" b="0"/>
          <wp:docPr id="1" name="Picture 1" descr="LOGOS_Texas_Shape_NoStar_Star_opt1 (00000004)"/>
          <wp:cNvGraphicFramePr/>
          <a:graphic xmlns:a="http://schemas.openxmlformats.org/drawingml/2006/main">
            <a:graphicData uri="http://schemas.openxmlformats.org/drawingml/2006/picture">
              <pic:pic xmlns:pic="http://schemas.openxmlformats.org/drawingml/2006/picture">
                <pic:nvPicPr>
                  <pic:cNvPr id="0" name="Picture 1" descr="LOGOS_Texas_Shape_NoStar_Star_opt1 (00000004)"/>
                  <pic:cNvPicPr>
                    <a:picLocks noChangeAspect="1" noChangeArrowheads="1"/>
                  </pic:cNvPicPr>
                </pic:nvPicPr>
                <pic:blipFill>
                  <a:blip r:embed="rId1"/>
                  <a:srcRect/>
                  <a:stretch>
                    <a:fillRect/>
                  </a:stretch>
                </pic:blipFill>
                <pic:spPr bwMode="auto">
                  <a:xfrm>
                    <a:off x="0" y="0"/>
                    <a:ext cx="536575" cy="495300"/>
                  </a:xfrm>
                  <a:prstGeom prst="rect">
                    <a:avLst/>
                  </a:prstGeom>
                  <a:noFill/>
                  <a:ln w="9525">
                    <a:noFill/>
                    <a:miter lim="800000"/>
                    <a:headEnd/>
                    <a:tailEnd/>
                  </a:ln>
                </pic:spPr>
              </pic:pic>
            </a:graphicData>
          </a:graphic>
        </wp:inline>
      </w:drawing>
    </w:r>
    <w:r w:rsidR="004C0CAB" w:rsidRPr="00BB5F2A">
      <w:rPr>
        <w:sz w:val="48"/>
        <w:szCs w:val="48"/>
      </w:rPr>
      <w:t>2024 Ciudad de Terrell</w:t>
    </w:r>
    <w:r>
      <w:tab/>
    </w:r>
    <w:r w:rsidR="007F5068">
      <w:rPr>
        <w:sz w:val="28"/>
        <w:szCs w:val="28"/>
      </w:rPr>
      <w:t>Tx 120006</w:t>
    </w:r>
    <w:r w:rsidR="007F5068">
      <w:tab/>
    </w:r>
  </w:p>
  <w:p w:rsidR="00BB56CA" w:rsidRPr="00BB5F2A" w:rsidRDefault="00BB56CA" w:rsidP="00CE4FA3">
    <w:pPr>
      <w:pStyle w:val="Title"/>
      <w:rPr>
        <w:sz w:val="48"/>
        <w:szCs w:val="48"/>
      </w:rPr>
    </w:pPr>
    <w:r w:rsidRPr="00BB5F2A">
      <w:rPr>
        <w:sz w:val="48"/>
        <w:szCs w:val="48"/>
      </w:rPr>
      <w:t>Informe de Confianza del Consumidor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90078"/>
    <w:multiLevelType w:val="hybridMultilevel"/>
    <w:tmpl w:val="26A6F880"/>
    <w:lvl w:ilvl="0" w:tplc="2B5CB660">
      <w:numFmt w:val="bullet"/>
      <w:lvlText w:val=""/>
      <w:lvlJc w:val="left"/>
      <w:pPr>
        <w:ind w:left="720" w:hanging="360"/>
      </w:pPr>
      <w:rPr>
        <w:rFonts w:ascii="Symbol" w:eastAsia="SansSerif" w:hAnsi="Symbol" w:cs="SansSerif"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47C12"/>
    <w:multiLevelType w:val="hybridMultilevel"/>
    <w:tmpl w:val="650875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0C"/>
    <w:rsid w:val="00000661"/>
    <w:rsid w:val="000064BD"/>
    <w:rsid w:val="00016D15"/>
    <w:rsid w:val="00022D33"/>
    <w:rsid w:val="00027E11"/>
    <w:rsid w:val="0004563C"/>
    <w:rsid w:val="00047CF1"/>
    <w:rsid w:val="000569BC"/>
    <w:rsid w:val="000576A1"/>
    <w:rsid w:val="000661AC"/>
    <w:rsid w:val="0007145C"/>
    <w:rsid w:val="000A27C9"/>
    <w:rsid w:val="000D03C8"/>
    <w:rsid w:val="000E1B75"/>
    <w:rsid w:val="000E2B4A"/>
    <w:rsid w:val="00100E44"/>
    <w:rsid w:val="001162A9"/>
    <w:rsid w:val="00134F8D"/>
    <w:rsid w:val="00142E90"/>
    <w:rsid w:val="00142FC0"/>
    <w:rsid w:val="001546C1"/>
    <w:rsid w:val="00155F5D"/>
    <w:rsid w:val="00161AC1"/>
    <w:rsid w:val="0016750A"/>
    <w:rsid w:val="00181077"/>
    <w:rsid w:val="00196291"/>
    <w:rsid w:val="001C04AE"/>
    <w:rsid w:val="001C1EA6"/>
    <w:rsid w:val="001C29E1"/>
    <w:rsid w:val="001C4EC3"/>
    <w:rsid w:val="001D55D5"/>
    <w:rsid w:val="001F3209"/>
    <w:rsid w:val="001F3BE7"/>
    <w:rsid w:val="001F7E02"/>
    <w:rsid w:val="002147FF"/>
    <w:rsid w:val="00262017"/>
    <w:rsid w:val="0026264A"/>
    <w:rsid w:val="00267789"/>
    <w:rsid w:val="002757D0"/>
    <w:rsid w:val="00283CB4"/>
    <w:rsid w:val="002A6497"/>
    <w:rsid w:val="002C42A6"/>
    <w:rsid w:val="002D5B16"/>
    <w:rsid w:val="002D60DA"/>
    <w:rsid w:val="002E797F"/>
    <w:rsid w:val="002F1100"/>
    <w:rsid w:val="002F5103"/>
    <w:rsid w:val="002F5807"/>
    <w:rsid w:val="00320F44"/>
    <w:rsid w:val="00324C7B"/>
    <w:rsid w:val="0032762D"/>
    <w:rsid w:val="003373F0"/>
    <w:rsid w:val="0034070F"/>
    <w:rsid w:val="003478BA"/>
    <w:rsid w:val="00353057"/>
    <w:rsid w:val="00362CF6"/>
    <w:rsid w:val="00363786"/>
    <w:rsid w:val="003648D6"/>
    <w:rsid w:val="003752F7"/>
    <w:rsid w:val="00375CDD"/>
    <w:rsid w:val="00377B7C"/>
    <w:rsid w:val="0038199F"/>
    <w:rsid w:val="00391371"/>
    <w:rsid w:val="003B61C9"/>
    <w:rsid w:val="003C0984"/>
    <w:rsid w:val="003F048A"/>
    <w:rsid w:val="003F7121"/>
    <w:rsid w:val="0042265E"/>
    <w:rsid w:val="004246F9"/>
    <w:rsid w:val="004626F0"/>
    <w:rsid w:val="004665A0"/>
    <w:rsid w:val="00477FD3"/>
    <w:rsid w:val="00493A7A"/>
    <w:rsid w:val="004B102D"/>
    <w:rsid w:val="004B4D30"/>
    <w:rsid w:val="004B721B"/>
    <w:rsid w:val="004C0CAB"/>
    <w:rsid w:val="004C307A"/>
    <w:rsid w:val="004D0C5F"/>
    <w:rsid w:val="004E70B7"/>
    <w:rsid w:val="004E7802"/>
    <w:rsid w:val="004F5C45"/>
    <w:rsid w:val="00503921"/>
    <w:rsid w:val="00506865"/>
    <w:rsid w:val="00527841"/>
    <w:rsid w:val="00553FA8"/>
    <w:rsid w:val="00571FA4"/>
    <w:rsid w:val="00573956"/>
    <w:rsid w:val="0058390F"/>
    <w:rsid w:val="005974AD"/>
    <w:rsid w:val="005C1A32"/>
    <w:rsid w:val="005C21BE"/>
    <w:rsid w:val="005C26DA"/>
    <w:rsid w:val="005E3390"/>
    <w:rsid w:val="005E516F"/>
    <w:rsid w:val="006008DC"/>
    <w:rsid w:val="00601BA9"/>
    <w:rsid w:val="006169F2"/>
    <w:rsid w:val="00634560"/>
    <w:rsid w:val="00635CF4"/>
    <w:rsid w:val="00650266"/>
    <w:rsid w:val="00656B06"/>
    <w:rsid w:val="006661B4"/>
    <w:rsid w:val="006736DA"/>
    <w:rsid w:val="006757CE"/>
    <w:rsid w:val="00682FB4"/>
    <w:rsid w:val="006C64B4"/>
    <w:rsid w:val="006D277F"/>
    <w:rsid w:val="006D3C6A"/>
    <w:rsid w:val="006E6A89"/>
    <w:rsid w:val="006F6D71"/>
    <w:rsid w:val="0070265C"/>
    <w:rsid w:val="007036FF"/>
    <w:rsid w:val="0070642C"/>
    <w:rsid w:val="00716A5F"/>
    <w:rsid w:val="00743C85"/>
    <w:rsid w:val="00752F33"/>
    <w:rsid w:val="00767461"/>
    <w:rsid w:val="0077062E"/>
    <w:rsid w:val="00775736"/>
    <w:rsid w:val="00790A91"/>
    <w:rsid w:val="007A09B4"/>
    <w:rsid w:val="007A6464"/>
    <w:rsid w:val="007D1315"/>
    <w:rsid w:val="007D4C71"/>
    <w:rsid w:val="007E782E"/>
    <w:rsid w:val="007F5068"/>
    <w:rsid w:val="007F6868"/>
    <w:rsid w:val="007F699F"/>
    <w:rsid w:val="007F726E"/>
    <w:rsid w:val="00807D95"/>
    <w:rsid w:val="00851942"/>
    <w:rsid w:val="00853103"/>
    <w:rsid w:val="00854963"/>
    <w:rsid w:val="00873901"/>
    <w:rsid w:val="008820AE"/>
    <w:rsid w:val="00892497"/>
    <w:rsid w:val="00894F11"/>
    <w:rsid w:val="008A5D85"/>
    <w:rsid w:val="008B3D24"/>
    <w:rsid w:val="008C151D"/>
    <w:rsid w:val="008C1D9C"/>
    <w:rsid w:val="008C4ACE"/>
    <w:rsid w:val="008D7663"/>
    <w:rsid w:val="008E51A3"/>
    <w:rsid w:val="008F1708"/>
    <w:rsid w:val="008F6D6F"/>
    <w:rsid w:val="00917F88"/>
    <w:rsid w:val="0093331E"/>
    <w:rsid w:val="00941ABC"/>
    <w:rsid w:val="00957A4C"/>
    <w:rsid w:val="00972E80"/>
    <w:rsid w:val="009878B4"/>
    <w:rsid w:val="009900C2"/>
    <w:rsid w:val="009907E2"/>
    <w:rsid w:val="009D42D0"/>
    <w:rsid w:val="009D4393"/>
    <w:rsid w:val="009F027E"/>
    <w:rsid w:val="00A0685D"/>
    <w:rsid w:val="00A32462"/>
    <w:rsid w:val="00A331AA"/>
    <w:rsid w:val="00A334F7"/>
    <w:rsid w:val="00A539C7"/>
    <w:rsid w:val="00A71C4A"/>
    <w:rsid w:val="00A7339F"/>
    <w:rsid w:val="00A81C24"/>
    <w:rsid w:val="00A905AF"/>
    <w:rsid w:val="00AF3606"/>
    <w:rsid w:val="00AF5F23"/>
    <w:rsid w:val="00AF7AA4"/>
    <w:rsid w:val="00B1183A"/>
    <w:rsid w:val="00B46555"/>
    <w:rsid w:val="00B67ECC"/>
    <w:rsid w:val="00B77238"/>
    <w:rsid w:val="00B924B4"/>
    <w:rsid w:val="00BB56CA"/>
    <w:rsid w:val="00BB5F2A"/>
    <w:rsid w:val="00BC2811"/>
    <w:rsid w:val="00BC340C"/>
    <w:rsid w:val="00BC796D"/>
    <w:rsid w:val="00BD6D94"/>
    <w:rsid w:val="00BF59CE"/>
    <w:rsid w:val="00C3092A"/>
    <w:rsid w:val="00C66B00"/>
    <w:rsid w:val="00C723E5"/>
    <w:rsid w:val="00C723EA"/>
    <w:rsid w:val="00C74306"/>
    <w:rsid w:val="00C76C15"/>
    <w:rsid w:val="00C76CD2"/>
    <w:rsid w:val="00C971CB"/>
    <w:rsid w:val="00CA5D49"/>
    <w:rsid w:val="00CC17CE"/>
    <w:rsid w:val="00CC2B88"/>
    <w:rsid w:val="00CD3D52"/>
    <w:rsid w:val="00CD73D7"/>
    <w:rsid w:val="00CE3C67"/>
    <w:rsid w:val="00CE4FA3"/>
    <w:rsid w:val="00CE4FED"/>
    <w:rsid w:val="00CF1770"/>
    <w:rsid w:val="00CF6EAC"/>
    <w:rsid w:val="00D038D0"/>
    <w:rsid w:val="00D10CB1"/>
    <w:rsid w:val="00D439C3"/>
    <w:rsid w:val="00D92008"/>
    <w:rsid w:val="00DA0BAF"/>
    <w:rsid w:val="00DA4805"/>
    <w:rsid w:val="00DD17B3"/>
    <w:rsid w:val="00DE2296"/>
    <w:rsid w:val="00DE6BD4"/>
    <w:rsid w:val="00E15C92"/>
    <w:rsid w:val="00E2394B"/>
    <w:rsid w:val="00E4405B"/>
    <w:rsid w:val="00E51735"/>
    <w:rsid w:val="00E626AA"/>
    <w:rsid w:val="00E70DB9"/>
    <w:rsid w:val="00E7748C"/>
    <w:rsid w:val="00E822D1"/>
    <w:rsid w:val="00E95BE1"/>
    <w:rsid w:val="00EA4755"/>
    <w:rsid w:val="00EA7B97"/>
    <w:rsid w:val="00EE49F0"/>
    <w:rsid w:val="00EE6C75"/>
    <w:rsid w:val="00EF78DE"/>
    <w:rsid w:val="00F0675C"/>
    <w:rsid w:val="00F47F57"/>
    <w:rsid w:val="00F5545A"/>
    <w:rsid w:val="00F65A97"/>
    <w:rsid w:val="00F670A4"/>
    <w:rsid w:val="00F75EEF"/>
    <w:rsid w:val="00F82B94"/>
    <w:rsid w:val="00F83803"/>
    <w:rsid w:val="00FA2E4A"/>
    <w:rsid w:val="00FB143E"/>
    <w:rsid w:val="00FC3123"/>
    <w:rsid w:val="00FD5F17"/>
    <w:rsid w:val="00FE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72974-C423-478E-883E-56CF9C39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8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4F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340C"/>
    <w:pPr>
      <w:spacing w:after="0" w:line="240" w:lineRule="auto"/>
    </w:pPr>
  </w:style>
  <w:style w:type="paragraph" w:styleId="Header">
    <w:name w:val="header"/>
    <w:basedOn w:val="Normal"/>
    <w:link w:val="HeaderChar"/>
    <w:uiPriority w:val="99"/>
    <w:unhideWhenUsed/>
    <w:rsid w:val="00BC340C"/>
    <w:pPr>
      <w:tabs>
        <w:tab w:val="center" w:pos="4680"/>
        <w:tab w:val="right" w:pos="9360"/>
      </w:tabs>
    </w:pPr>
  </w:style>
  <w:style w:type="character" w:customStyle="1" w:styleId="HeaderChar">
    <w:name w:val="Header Char"/>
    <w:basedOn w:val="DefaultParagraphFont"/>
    <w:link w:val="Header"/>
    <w:uiPriority w:val="99"/>
    <w:rsid w:val="00BC340C"/>
  </w:style>
  <w:style w:type="paragraph" w:styleId="Footer">
    <w:name w:val="footer"/>
    <w:basedOn w:val="Normal"/>
    <w:link w:val="FooterChar"/>
    <w:uiPriority w:val="99"/>
    <w:unhideWhenUsed/>
    <w:rsid w:val="00BC340C"/>
    <w:pPr>
      <w:tabs>
        <w:tab w:val="center" w:pos="4680"/>
        <w:tab w:val="right" w:pos="9360"/>
      </w:tabs>
    </w:pPr>
  </w:style>
  <w:style w:type="character" w:customStyle="1" w:styleId="FooterChar">
    <w:name w:val="Footer Char"/>
    <w:basedOn w:val="DefaultParagraphFont"/>
    <w:link w:val="Footer"/>
    <w:uiPriority w:val="99"/>
    <w:rsid w:val="00BC340C"/>
  </w:style>
  <w:style w:type="paragraph" w:styleId="BalloonText">
    <w:name w:val="Balloon Text"/>
    <w:basedOn w:val="Normal"/>
    <w:link w:val="BalloonTextChar"/>
    <w:uiPriority w:val="99"/>
    <w:semiHidden/>
    <w:unhideWhenUsed/>
    <w:rsid w:val="00BC340C"/>
    <w:rPr>
      <w:rFonts w:ascii="Tahoma" w:hAnsi="Tahoma" w:cs="Tahoma"/>
      <w:sz w:val="16"/>
      <w:szCs w:val="16"/>
    </w:rPr>
  </w:style>
  <w:style w:type="character" w:customStyle="1" w:styleId="BalloonTextChar">
    <w:name w:val="Balloon Text Char"/>
    <w:basedOn w:val="DefaultParagraphFont"/>
    <w:link w:val="BalloonText"/>
    <w:uiPriority w:val="99"/>
    <w:semiHidden/>
    <w:rsid w:val="00BC340C"/>
    <w:rPr>
      <w:rFonts w:ascii="Tahoma" w:hAnsi="Tahoma" w:cs="Tahoma"/>
      <w:sz w:val="16"/>
      <w:szCs w:val="16"/>
    </w:rPr>
  </w:style>
  <w:style w:type="table" w:styleId="TableGrid">
    <w:name w:val="Table Grid"/>
    <w:basedOn w:val="TableNormal"/>
    <w:uiPriority w:val="59"/>
    <w:rsid w:val="006D2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4F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E4F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4FA3"/>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basedOn w:val="DefaultParagraphFont"/>
    <w:link w:val="NoSpacing"/>
    <w:uiPriority w:val="1"/>
    <w:rsid w:val="00CE4FA3"/>
  </w:style>
  <w:style w:type="paragraph" w:styleId="ListParagraph">
    <w:name w:val="List Paragraph"/>
    <w:basedOn w:val="Normal"/>
    <w:uiPriority w:val="34"/>
    <w:qFormat/>
    <w:rsid w:val="00851942"/>
    <w:pPr>
      <w:ind w:left="720"/>
      <w:contextualSpacing/>
    </w:pPr>
  </w:style>
  <w:style w:type="character" w:styleId="PlaceholderText">
    <w:name w:val="Placeholder Text"/>
    <w:basedOn w:val="DefaultParagraphFont"/>
    <w:uiPriority w:val="99"/>
    <w:semiHidden/>
    <w:rsid w:val="00362C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457229">
      <w:bodyDiv w:val="1"/>
      <w:marLeft w:val="0"/>
      <w:marRight w:val="0"/>
      <w:marTop w:val="0"/>
      <w:marBottom w:val="0"/>
      <w:divBdr>
        <w:top w:val="none" w:sz="0" w:space="0" w:color="auto"/>
        <w:left w:val="none" w:sz="0" w:space="0" w:color="auto"/>
        <w:bottom w:val="none" w:sz="0" w:space="0" w:color="auto"/>
        <w:right w:val="none" w:sz="0" w:space="0" w:color="auto"/>
      </w:divBdr>
    </w:div>
    <w:div w:id="1103955715">
      <w:bodyDiv w:val="1"/>
      <w:marLeft w:val="0"/>
      <w:marRight w:val="0"/>
      <w:marTop w:val="0"/>
      <w:marBottom w:val="0"/>
      <w:divBdr>
        <w:top w:val="none" w:sz="0" w:space="0" w:color="auto"/>
        <w:left w:val="none" w:sz="0" w:space="0" w:color="auto"/>
        <w:bottom w:val="none" w:sz="0" w:space="0" w:color="auto"/>
        <w:right w:val="none" w:sz="0" w:space="0" w:color="auto"/>
      </w:divBdr>
    </w:div>
    <w:div w:id="202042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855DF-407B-40DF-94D0-7978FB8B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Dustin Starr</dc:creator>
  <cp:lastModifiedBy>Kyle McCarrier</cp:lastModifiedBy>
  <cp:revision>1</cp:revision>
  <cp:lastPrinted>2021-05-11T14:39:00Z</cp:lastPrinted>
  <dcterms:created xsi:type="dcterms:W3CDTF">2025-06-09T19:19:00Z</dcterms:created>
  <dcterms:modified xsi:type="dcterms:W3CDTF">2025-06-16T16:03:00Z</dcterms:modified>
</cp:coreProperties>
</file>